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033DA" w14:textId="77777777" w:rsidR="00111E86" w:rsidRDefault="00000000">
      <w:pPr>
        <w:jc w:val="center"/>
        <w:rPr>
          <w:rFonts w:ascii="宋体" w:eastAsia="宋体" w:hAnsi="宋体" w:cs="宋体"/>
          <w:b/>
          <w:bCs/>
          <w:sz w:val="28"/>
          <w:szCs w:val="28"/>
        </w:rPr>
      </w:pPr>
      <w:proofErr w:type="gramStart"/>
      <w:r>
        <w:rPr>
          <w:rFonts w:ascii="宋体" w:eastAsia="宋体" w:hAnsi="宋体" w:cs="宋体"/>
          <w:b/>
          <w:bCs/>
          <w:sz w:val="28"/>
          <w:szCs w:val="28"/>
        </w:rPr>
        <w:t>数智化</w:t>
      </w:r>
      <w:proofErr w:type="gramEnd"/>
      <w:r>
        <w:rPr>
          <w:rFonts w:ascii="宋体" w:eastAsia="宋体" w:hAnsi="宋体" w:cs="宋体"/>
          <w:b/>
          <w:bCs/>
          <w:sz w:val="28"/>
          <w:szCs w:val="28"/>
        </w:rPr>
        <w:t>转型背景下共同富裕的区域差异治理</w:t>
      </w:r>
      <w:r>
        <w:rPr>
          <w:rFonts w:ascii="宋体" w:eastAsia="宋体" w:hAnsi="宋体" w:cs="宋体" w:hint="eastAsia"/>
          <w:b/>
          <w:bCs/>
          <w:sz w:val="28"/>
          <w:szCs w:val="28"/>
        </w:rPr>
        <w:t>——基于</w:t>
      </w:r>
      <w:r>
        <w:rPr>
          <w:rFonts w:ascii="宋体" w:eastAsia="宋体" w:hAnsi="宋体" w:cs="宋体"/>
          <w:b/>
          <w:bCs/>
          <w:sz w:val="28"/>
          <w:szCs w:val="28"/>
        </w:rPr>
        <w:t>马克思主义视角下的社会公正</w:t>
      </w:r>
      <w:r>
        <w:rPr>
          <w:rFonts w:ascii="宋体" w:eastAsia="宋体" w:hAnsi="宋体" w:cs="宋体" w:hint="eastAsia"/>
          <w:b/>
          <w:bCs/>
          <w:sz w:val="28"/>
          <w:szCs w:val="28"/>
        </w:rPr>
        <w:t>及</w:t>
      </w:r>
      <w:r>
        <w:rPr>
          <w:rFonts w:ascii="宋体" w:eastAsia="宋体" w:hAnsi="宋体" w:cs="宋体"/>
          <w:b/>
          <w:bCs/>
          <w:sz w:val="28"/>
          <w:szCs w:val="28"/>
        </w:rPr>
        <w:t>政策路径</w:t>
      </w:r>
      <w:r>
        <w:rPr>
          <w:rFonts w:ascii="宋体" w:eastAsia="宋体" w:hAnsi="宋体" w:cs="宋体" w:hint="eastAsia"/>
          <w:b/>
          <w:bCs/>
          <w:sz w:val="28"/>
          <w:szCs w:val="28"/>
        </w:rPr>
        <w:t>探究</w:t>
      </w:r>
    </w:p>
    <w:p w14:paraId="572811B1" w14:textId="77777777" w:rsidR="00111E86" w:rsidRDefault="00111E86">
      <w:pPr>
        <w:ind w:firstLineChars="0" w:firstLine="0"/>
      </w:pPr>
    </w:p>
    <w:p w14:paraId="373BA21F" w14:textId="77777777" w:rsidR="00111E86" w:rsidRDefault="00000000">
      <w:pPr>
        <w:ind w:firstLineChars="0" w:firstLine="0"/>
        <w:rPr>
          <w:b/>
          <w:bCs/>
        </w:rPr>
      </w:pPr>
      <w:r>
        <w:rPr>
          <w:rFonts w:hint="eastAsia"/>
          <w:b/>
          <w:bCs/>
        </w:rPr>
        <w:t>[</w:t>
      </w:r>
      <w:r>
        <w:rPr>
          <w:b/>
          <w:bCs/>
        </w:rPr>
        <w:t>摘要</w:t>
      </w:r>
      <w:r>
        <w:rPr>
          <w:rFonts w:hint="eastAsia"/>
          <w:b/>
          <w:bCs/>
        </w:rPr>
        <w:t>]</w:t>
      </w:r>
    </w:p>
    <w:p w14:paraId="05C74B8B" w14:textId="77777777" w:rsidR="00111E86" w:rsidRDefault="00000000">
      <w:pPr>
        <w:ind w:firstLine="420"/>
      </w:pPr>
      <w:r>
        <w:t>基于马克思主义</w:t>
      </w:r>
      <w:r>
        <w:rPr>
          <w:rFonts w:hint="eastAsia"/>
        </w:rPr>
        <w:t>的</w:t>
      </w:r>
      <w:r>
        <w:t>视角，深入探讨了中国在数智化转型背景下区域差异治理的挑战与实现共同富裕的路径。随着数字化和智能化技术的迅速发展，中国的社会经济结构正在经历深刻变革，尽管这种转型推动了经济的高质量发展，但也加剧了东部沿海发达地区与中西部欠发达地区之间的差距。东部地区凭借其技术、资金和人才优势，率先在数智化进程中取得突破，而中西部地区由于基础设施薄弱和技术储备不足，难以跟上发展的步伐，导致区域经济差距进一步扩大。通过</w:t>
      </w:r>
      <w:proofErr w:type="gramStart"/>
      <w:r>
        <w:t>分析数智化</w:t>
      </w:r>
      <w:proofErr w:type="gramEnd"/>
      <w:r>
        <w:t>转型如何影响区域发展不平衡，提出了缩小技术鸿沟、平衡资本积累、提升社会服务水平等政策建议。具体策略包括通过政府主导的宏观调控，推动欠发达地区</w:t>
      </w:r>
      <w:proofErr w:type="gramStart"/>
      <w:r>
        <w:t>的数智化</w:t>
      </w:r>
      <w:proofErr w:type="gramEnd"/>
      <w:r>
        <w:t>基础设施建设；强化职业技能培训，尤其是针对中西部地区，提升劳动者的数字化和智能化能力；同时，通过建立数字经济区域创新中心，推动区域经济的转型和升级。研究指出，中国应继续坚持政府主导与市场机制相结合的模式，</w:t>
      </w:r>
      <w:proofErr w:type="gramStart"/>
      <w:r>
        <w:t>确保数智化</w:t>
      </w:r>
      <w:proofErr w:type="gramEnd"/>
      <w:r>
        <w:t>发展的成果惠及全国各地人民，为实现共同富裕奠定坚实基础。</w:t>
      </w:r>
      <w:r>
        <w:rPr>
          <w:rFonts w:hint="eastAsia"/>
        </w:rPr>
        <w:t>这一</w:t>
      </w:r>
      <w:r>
        <w:t>研究不仅展示了中国特色社会主义制度在区域协调发展中的优势，也为全球其他发展中国家在数智化转型中的区域差异治理提供了有益的经验和借鉴。</w:t>
      </w:r>
    </w:p>
    <w:p w14:paraId="49A9C386" w14:textId="77777777" w:rsidR="00111E86" w:rsidRDefault="00000000">
      <w:pPr>
        <w:ind w:firstLineChars="0" w:firstLine="0"/>
      </w:pPr>
      <w:r>
        <w:rPr>
          <w:rFonts w:hint="eastAsia"/>
          <w:b/>
          <w:bCs/>
        </w:rPr>
        <w:t>[</w:t>
      </w:r>
      <w:r>
        <w:rPr>
          <w:b/>
          <w:bCs/>
        </w:rPr>
        <w:t>关键词</w:t>
      </w:r>
      <w:r>
        <w:rPr>
          <w:rFonts w:hint="eastAsia"/>
          <w:b/>
          <w:bCs/>
        </w:rPr>
        <w:t>]</w:t>
      </w:r>
      <w:r>
        <w:rPr>
          <w:rFonts w:hint="eastAsia"/>
          <w:b/>
          <w:bCs/>
        </w:rPr>
        <w:t>：</w:t>
      </w:r>
      <w:proofErr w:type="gramStart"/>
      <w:r>
        <w:rPr>
          <w:b/>
          <w:bCs/>
        </w:rPr>
        <w:t>数智化</w:t>
      </w:r>
      <w:proofErr w:type="gramEnd"/>
      <w:r>
        <w:rPr>
          <w:b/>
          <w:bCs/>
        </w:rPr>
        <w:t>转型</w:t>
      </w:r>
      <w:r>
        <w:rPr>
          <w:rFonts w:hint="eastAsia"/>
          <w:b/>
          <w:bCs/>
        </w:rPr>
        <w:t>；</w:t>
      </w:r>
      <w:r>
        <w:rPr>
          <w:b/>
          <w:bCs/>
        </w:rPr>
        <w:t>区域差异</w:t>
      </w:r>
      <w:r>
        <w:rPr>
          <w:rFonts w:hint="eastAsia"/>
          <w:b/>
          <w:bCs/>
        </w:rPr>
        <w:t>；</w:t>
      </w:r>
      <w:r>
        <w:rPr>
          <w:b/>
          <w:bCs/>
        </w:rPr>
        <w:t>共同富裕</w:t>
      </w:r>
      <w:r>
        <w:rPr>
          <w:rFonts w:hint="eastAsia"/>
          <w:b/>
          <w:bCs/>
        </w:rPr>
        <w:t>；</w:t>
      </w:r>
      <w:r>
        <w:rPr>
          <w:b/>
          <w:bCs/>
        </w:rPr>
        <w:t>马克思主义</w:t>
      </w:r>
      <w:r>
        <w:rPr>
          <w:rFonts w:hint="eastAsia"/>
          <w:b/>
          <w:bCs/>
        </w:rPr>
        <w:t>；</w:t>
      </w:r>
      <w:r>
        <w:rPr>
          <w:b/>
          <w:bCs/>
        </w:rPr>
        <w:t>社会公正</w:t>
      </w:r>
    </w:p>
    <w:p w14:paraId="10BED615" w14:textId="77777777" w:rsidR="00111E86" w:rsidRDefault="00111E86">
      <w:pPr>
        <w:ind w:firstLine="420"/>
      </w:pPr>
    </w:p>
    <w:p w14:paraId="04279469" w14:textId="77777777" w:rsidR="00111E86" w:rsidRDefault="00111E86">
      <w:pPr>
        <w:ind w:firstLine="420"/>
      </w:pPr>
    </w:p>
    <w:p w14:paraId="7D753D22" w14:textId="77777777" w:rsidR="00111E86" w:rsidRDefault="00111E86">
      <w:pPr>
        <w:ind w:firstLine="420"/>
      </w:pPr>
    </w:p>
    <w:p w14:paraId="15B73C03" w14:textId="77777777" w:rsidR="00111E86" w:rsidRDefault="00111E86">
      <w:pPr>
        <w:ind w:firstLine="420"/>
      </w:pPr>
    </w:p>
    <w:p w14:paraId="3185FFE7" w14:textId="77777777" w:rsidR="00111E86" w:rsidRDefault="00111E86">
      <w:pPr>
        <w:ind w:firstLine="420"/>
      </w:pPr>
    </w:p>
    <w:p w14:paraId="7CB71F53" w14:textId="77777777" w:rsidR="00111E86" w:rsidRDefault="00111E86">
      <w:pPr>
        <w:ind w:firstLine="420"/>
      </w:pPr>
    </w:p>
    <w:p w14:paraId="1839AE43" w14:textId="77777777" w:rsidR="00111E86" w:rsidRDefault="00111E86">
      <w:pPr>
        <w:ind w:firstLine="420"/>
      </w:pPr>
    </w:p>
    <w:p w14:paraId="77DF0499" w14:textId="77777777" w:rsidR="00111E86" w:rsidRDefault="00111E86">
      <w:pPr>
        <w:ind w:firstLine="420"/>
      </w:pPr>
    </w:p>
    <w:p w14:paraId="096EF0A2" w14:textId="77777777" w:rsidR="00111E86" w:rsidRDefault="00000000">
      <w:pPr>
        <w:pStyle w:val="1"/>
      </w:pPr>
      <w:r>
        <w:rPr>
          <w:rFonts w:hint="eastAsia"/>
        </w:rPr>
        <w:lastRenderedPageBreak/>
        <w:t>一、引言</w:t>
      </w:r>
    </w:p>
    <w:p w14:paraId="001233D9" w14:textId="77777777" w:rsidR="00111E86" w:rsidRDefault="00000000">
      <w:pPr>
        <w:ind w:firstLine="420"/>
      </w:pPr>
      <w:r>
        <w:t>在全球范围内，数字化与智能化技术的迅猛发展正在重塑社会经济结构，推动人类进入一个前所未有</w:t>
      </w:r>
      <w:proofErr w:type="gramStart"/>
      <w:r>
        <w:t>的数智化</w:t>
      </w:r>
      <w:proofErr w:type="gramEnd"/>
      <w:r>
        <w:t>时代。人工智能、大数据、物联网、区块链等技术的广泛应用，不仅提升了生产力水平，还深刻改变了人们的生活方式和社会组织形态。然而，</w:t>
      </w:r>
      <w:proofErr w:type="gramStart"/>
      <w:r>
        <w:t>随着数智化</w:t>
      </w:r>
      <w:proofErr w:type="gramEnd"/>
      <w:r>
        <w:t>转型的加速推进，社会发展的不平衡问题日益凸显，特别是在区域间的发展差异上，</w:t>
      </w:r>
      <w:proofErr w:type="gramStart"/>
      <w:r>
        <w:t>数智化</w:t>
      </w:r>
      <w:proofErr w:type="gramEnd"/>
      <w:r>
        <w:t>转型所带来的机遇和挑战显得尤为突出。</w:t>
      </w:r>
    </w:p>
    <w:p w14:paraId="555BB9C3" w14:textId="77777777" w:rsidR="00111E86" w:rsidRDefault="00000000">
      <w:pPr>
        <w:ind w:firstLine="420"/>
      </w:pPr>
      <w:r>
        <w:t>近年来，</w:t>
      </w:r>
      <w:proofErr w:type="gramStart"/>
      <w:r>
        <w:t>数智化</w:t>
      </w:r>
      <w:proofErr w:type="gramEnd"/>
      <w:r>
        <w:t>转型已成为中国推动经济高质量发展的关键动力，但同时，区域间的发展差距也有扩大的趋势。东部沿海发达地区凭借其丰富的技术资源、资金积累和人才优势，在数智化进程中率先突破，迅速提升了经济效益和竞争力。而中西部欠发达地区由于基础设施薄弱、技术储备不足，难以</w:t>
      </w:r>
      <w:proofErr w:type="gramStart"/>
      <w:r>
        <w:t>跟上数智</w:t>
      </w:r>
      <w:proofErr w:type="gramEnd"/>
      <w:r>
        <w:t>化发展的步伐，导致区域间的经济差距进一步拉大。这一问题不仅影响到经济的均衡发展，还直接关系到社会的公平正义和长远稳定。</w:t>
      </w:r>
    </w:p>
    <w:p w14:paraId="3AF254F1" w14:textId="77777777" w:rsidR="00111E86" w:rsidRDefault="00000000">
      <w:pPr>
        <w:ind w:firstLine="420"/>
      </w:pPr>
      <w:r>
        <w:t>新时代中国特色社会主义的一个重要目标就是实现全体人民的共同富裕，这是马克思主义基本原理与中国实际相结合的重要成果。共同富裕不仅是经济发展的目标，更是社会公正的重要体现。然而，</w:t>
      </w:r>
      <w:proofErr w:type="gramStart"/>
      <w:r>
        <w:t>随着数智化</w:t>
      </w:r>
      <w:proofErr w:type="gramEnd"/>
      <w:r>
        <w:t>转型的推进，实现共同富裕也面临着新的挑战。如何缩小区域差距，</w:t>
      </w:r>
      <w:proofErr w:type="gramStart"/>
      <w:r>
        <w:t>确保数智化</w:t>
      </w:r>
      <w:proofErr w:type="gramEnd"/>
      <w:r>
        <w:t>发展的成果惠及全国各地人民，成为当下亟待解决的重要课题。</w:t>
      </w:r>
    </w:p>
    <w:p w14:paraId="7DB186A0" w14:textId="77777777" w:rsidR="00111E86" w:rsidRDefault="00000000">
      <w:pPr>
        <w:pStyle w:val="2"/>
      </w:pPr>
      <w:r>
        <w:rPr>
          <w:rFonts w:hint="eastAsia"/>
        </w:rPr>
        <w:t>（一）</w:t>
      </w:r>
      <w:proofErr w:type="gramStart"/>
      <w:r>
        <w:t>数智化</w:t>
      </w:r>
      <w:proofErr w:type="gramEnd"/>
      <w:r>
        <w:t>转型下的</w:t>
      </w:r>
      <w:r>
        <w:rPr>
          <w:rFonts w:hint="eastAsia"/>
        </w:rPr>
        <w:t>部分</w:t>
      </w:r>
      <w:r>
        <w:t>区域发展现状与数据背景分析</w:t>
      </w:r>
    </w:p>
    <w:p w14:paraId="1E86A99A" w14:textId="77777777" w:rsidR="00111E86" w:rsidRDefault="00000000">
      <w:pPr>
        <w:ind w:firstLine="420"/>
      </w:pPr>
      <w:r>
        <w:t>据《中国数字经济发展与就业白皮书（</w:t>
      </w:r>
      <w:r>
        <w:t>2022</w:t>
      </w:r>
      <w:r>
        <w:t>年）》显示，</w:t>
      </w:r>
      <w:r>
        <w:t>2021</w:t>
      </w:r>
      <w:r>
        <w:t>年，中国数字经济规模已达到</w:t>
      </w:r>
      <w:r>
        <w:t>45.5</w:t>
      </w:r>
      <w:proofErr w:type="gramStart"/>
      <w:r>
        <w:t>万亿</w:t>
      </w:r>
      <w:proofErr w:type="gramEnd"/>
      <w:r>
        <w:t>元，占全国</w:t>
      </w:r>
      <w:r>
        <w:t>GDP</w:t>
      </w:r>
      <w:r>
        <w:t>的</w:t>
      </w:r>
      <w:r>
        <w:t>39.8%</w:t>
      </w:r>
      <w:r>
        <w:t>。在区域发展上，东部沿海地区的数字经济增速显著高于中西部地区，显示出明显的区域差异。其中，广东省的数字经济占</w:t>
      </w:r>
      <w:r>
        <w:t>GDP</w:t>
      </w:r>
      <w:r>
        <w:t>比重高达</w:t>
      </w:r>
      <w:r>
        <w:t>55.2%</w:t>
      </w:r>
      <w:r>
        <w:t>，上海市则为</w:t>
      </w:r>
      <w:r>
        <w:t>51.8%</w:t>
      </w:r>
      <w:r>
        <w:t>，位居全国前列。而中西部地区，如贵州省和西藏自治区的数字经济占比分别仅为</w:t>
      </w:r>
      <w:r>
        <w:t>19.7%</w:t>
      </w:r>
      <w:r>
        <w:t>和</w:t>
      </w:r>
      <w:r>
        <w:t>16.5%</w:t>
      </w:r>
      <w:r>
        <w:t>，这反映出这些地区在基础设施、技术创新和资本投入方面的明显不足。</w:t>
      </w:r>
      <w:r>
        <w:rPr>
          <w:rStyle w:val="a9"/>
        </w:rPr>
        <w:t>[</w:t>
      </w:r>
      <w:r>
        <w:rPr>
          <w:rStyle w:val="a9"/>
        </w:rPr>
        <w:endnoteReference w:id="1"/>
      </w:r>
      <w:r>
        <w:rPr>
          <w:rStyle w:val="a9"/>
        </w:rPr>
        <w:t>]</w:t>
      </w:r>
    </w:p>
    <w:p w14:paraId="2F254DFE" w14:textId="77777777" w:rsidR="00111E86" w:rsidRDefault="00000000">
      <w:pPr>
        <w:pStyle w:val="2"/>
      </w:pPr>
      <w:r>
        <w:rPr>
          <w:rFonts w:hint="eastAsia"/>
        </w:rPr>
        <w:t>（二）</w:t>
      </w:r>
      <w:r>
        <w:t>马克思主义理论</w:t>
      </w:r>
      <w:proofErr w:type="gramStart"/>
      <w:r>
        <w:t>与数智化</w:t>
      </w:r>
      <w:proofErr w:type="gramEnd"/>
      <w:r>
        <w:t>转型实践的结合分析</w:t>
      </w:r>
    </w:p>
    <w:p w14:paraId="452DC2F8" w14:textId="77777777" w:rsidR="00111E86" w:rsidRDefault="00000000">
      <w:pPr>
        <w:ind w:firstLine="420"/>
      </w:pPr>
      <w:r>
        <w:t>马克思主义作为无产阶级和全人类解放的理论武器，强调社会公正和阶级利益的统一。在数智化转型过程中，如何通过有效的政策路径解决区域发展不平衡的问题，是马克思主义理论在当下的重要实践。</w:t>
      </w:r>
      <w:proofErr w:type="gramStart"/>
      <w:r>
        <w:t>数智化</w:t>
      </w:r>
      <w:proofErr w:type="gramEnd"/>
      <w:r>
        <w:t>带来的技术进步可能导致</w:t>
      </w:r>
      <w:r>
        <w:rPr>
          <w:rFonts w:hint="eastAsia"/>
        </w:rPr>
        <w:t>“</w:t>
      </w:r>
      <w:r>
        <w:t>马太效应</w:t>
      </w:r>
      <w:r>
        <w:rPr>
          <w:rFonts w:hint="eastAsia"/>
        </w:rPr>
        <w:t>”</w:t>
      </w:r>
      <w:r>
        <w:t>，即发达地区因技术和资源优势进一步发展，而欠发达地区则面临被边缘化的风险。</w:t>
      </w:r>
      <w:r>
        <w:rPr>
          <w:rFonts w:hint="eastAsia"/>
        </w:rPr>
        <w:t>因此</w:t>
      </w:r>
      <w:r>
        <w:t>必须通过政府干预和政策引导，平衡区域发展差距，确保全体人民在这一进程中受益。基于此，</w:t>
      </w:r>
      <w:r>
        <w:rPr>
          <w:rFonts w:hint="eastAsia"/>
        </w:rPr>
        <w:t>应</w:t>
      </w:r>
      <w:r>
        <w:t>将结合中国实际，</w:t>
      </w:r>
      <w:proofErr w:type="gramStart"/>
      <w:r>
        <w:t>系统分析数智化</w:t>
      </w:r>
      <w:proofErr w:type="gramEnd"/>
      <w:r>
        <w:t>转型背景下的区域差异，并探讨通过政策路径实现区域协调发展和共同富裕</w:t>
      </w:r>
      <w:r>
        <w:lastRenderedPageBreak/>
        <w:t>的可行性策略，展示中国特色社会主义制度在实现社会公正和区域均衡发展中的优势。</w:t>
      </w:r>
    </w:p>
    <w:p w14:paraId="079D78B1" w14:textId="77777777" w:rsidR="00111E86" w:rsidRDefault="00000000">
      <w:pPr>
        <w:pStyle w:val="1"/>
      </w:pPr>
      <w:r>
        <w:rPr>
          <w:rFonts w:hint="eastAsia"/>
        </w:rPr>
        <w:t>二、</w:t>
      </w:r>
      <w:r>
        <w:t>马克思主义视角下的社会公正与区域差异治理</w:t>
      </w:r>
    </w:p>
    <w:p w14:paraId="3F2BD48D" w14:textId="77777777" w:rsidR="00111E86" w:rsidRDefault="00000000">
      <w:pPr>
        <w:pStyle w:val="2"/>
      </w:pPr>
      <w:r>
        <w:rPr>
          <w:rFonts w:hint="eastAsia"/>
        </w:rPr>
        <w:t>（一）马克思主义的社会公正理论</w:t>
      </w:r>
    </w:p>
    <w:p w14:paraId="0F85EC2F" w14:textId="77777777" w:rsidR="00111E86" w:rsidRDefault="00000000">
      <w:pPr>
        <w:ind w:firstLine="420"/>
      </w:pPr>
      <w:r>
        <w:t>马克思主义的社会公正观是其关于社会主义和共产主义社会目标</w:t>
      </w:r>
      <w:r>
        <w:rPr>
          <w:rFonts w:hint="eastAsia"/>
        </w:rPr>
        <w:t>中至关重要的部分</w:t>
      </w:r>
      <w:r>
        <w:t>。马克思主义认为，社会公正不仅仅是财富在社会成员之间的平等分配，更深层次的是生产资料的占有方式和生产关系的公正性。在资本主义社会，生产资料的私人占有和资本对劳动的剥削导致了社会的不公正，少数资本家占有了大部分社会财富，而广大劳动者只能通过出卖劳动力获得生活必需品。这种剥削关系导致了阶级分化和社会不平等，从根本上破坏了社会公正。</w:t>
      </w:r>
      <w:r>
        <w:rPr>
          <w:rStyle w:val="a9"/>
        </w:rPr>
        <w:t>[</w:t>
      </w:r>
      <w:r>
        <w:rPr>
          <w:rStyle w:val="a9"/>
        </w:rPr>
        <w:endnoteReference w:id="2"/>
      </w:r>
      <w:r>
        <w:rPr>
          <w:rStyle w:val="a9"/>
        </w:rPr>
        <w:t>]</w:t>
      </w:r>
    </w:p>
    <w:p w14:paraId="1FC27B14" w14:textId="77777777" w:rsidR="00111E86" w:rsidRDefault="00000000">
      <w:pPr>
        <w:ind w:firstLine="420"/>
      </w:pPr>
      <w:r>
        <w:t>在马克思看来，社会主义社会应通过废除生产资料的私人占有，实行公有制和按劳分配，实现社会财富的公平分配，消除剥削，实现全社会的共同富裕。马克思主义的社会公正观强调，真正的公正必须是劳动者在生产过程中能够分享劳动成果，并通过社会制度保障每个人的发展机会和权利。通过生产关系的变革，推动社会公正的实现，是社会主义和共产主义的核心目标。</w:t>
      </w:r>
    </w:p>
    <w:p w14:paraId="02F863FE" w14:textId="77777777" w:rsidR="00111E86" w:rsidRDefault="00000000">
      <w:pPr>
        <w:spacing w:line="240" w:lineRule="auto"/>
        <w:ind w:firstLine="420"/>
        <w:jc w:val="center"/>
      </w:pPr>
      <w:r>
        <w:rPr>
          <w:noProof/>
        </w:rPr>
        <w:drawing>
          <wp:inline distT="0" distB="0" distL="114300" distR="114300" wp14:anchorId="27398C6E" wp14:editId="65CD3060">
            <wp:extent cx="4504055" cy="4025900"/>
            <wp:effectExtent l="9525" t="9525" r="10795" b="1270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4504055" cy="4025900"/>
                    </a:xfrm>
                    <a:prstGeom prst="rect">
                      <a:avLst/>
                    </a:prstGeom>
                    <a:noFill/>
                    <a:ln w="3175">
                      <a:solidFill>
                        <a:schemeClr val="tx1"/>
                      </a:solidFill>
                    </a:ln>
                  </pic:spPr>
                </pic:pic>
              </a:graphicData>
            </a:graphic>
          </wp:inline>
        </w:drawing>
      </w:r>
    </w:p>
    <w:p w14:paraId="0E20C3D2"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w:t>
      </w:r>
      <w:r>
        <w:fldChar w:fldCharType="end"/>
      </w:r>
      <w:r>
        <w:rPr>
          <w:rFonts w:hint="eastAsia"/>
        </w:rPr>
        <w:t xml:space="preserve"> </w:t>
      </w:r>
      <w:r>
        <w:t>资本主义社会与社会主义社会公正路径图示</w:t>
      </w:r>
    </w:p>
    <w:p w14:paraId="1A04F9C7" w14:textId="77777777" w:rsidR="00111E86" w:rsidRDefault="00111E86">
      <w:pPr>
        <w:spacing w:line="240" w:lineRule="auto"/>
        <w:ind w:firstLine="420"/>
        <w:jc w:val="center"/>
      </w:pPr>
    </w:p>
    <w:p w14:paraId="4BEF1166" w14:textId="77777777" w:rsidR="00111E86" w:rsidRDefault="00000000">
      <w:pPr>
        <w:pStyle w:val="2"/>
      </w:pPr>
      <w:r>
        <w:rPr>
          <w:rFonts w:hint="eastAsia"/>
        </w:rPr>
        <w:t>（二）马克思主义的区域发展理论</w:t>
      </w:r>
    </w:p>
    <w:p w14:paraId="2D7B422F" w14:textId="77777777" w:rsidR="00111E86" w:rsidRDefault="00000000">
      <w:pPr>
        <w:ind w:firstLine="420"/>
      </w:pPr>
      <w:r>
        <w:t>马克思主义区域发展理论的核心在于揭示资本主义生产方式下，区域间发展不平衡的必然性及其根源。马克思指出，资本主义生产方式下，资本总是趋向于流向利润更高、条件更有利的地区。这种资本流动性导致了区域之间的发展不平衡，经济发达地区积累了更多的资本、技术和人才，而欠发达地区则陷入了资本、技术和人才的流失，进一步加剧了区域差距。</w:t>
      </w:r>
    </w:p>
    <w:p w14:paraId="6CA6CD87" w14:textId="77777777" w:rsidR="00111E86" w:rsidRDefault="00000000">
      <w:pPr>
        <w:ind w:firstLine="420"/>
      </w:pPr>
      <w:r>
        <w:t>马克思还强调，资本主义社会中的区域发展不均衡不仅体现在经济领域，还涉及社会文化和政治权利等多个方面。发达地区不仅掌握了更多的经济资源，还在社会文化和政治权力上占据了主导地位，这使得欠发达地区不仅经济落后，而且在社会文化和政治影响力上也处于劣势地位。这种不平衡的发展模式是资本主义生产方式的内在矛盾之一，必须通过社会主义制度的调控来加以解决。</w:t>
      </w:r>
    </w:p>
    <w:p w14:paraId="5627A6AF" w14:textId="77777777" w:rsidR="00111E86" w:rsidRDefault="00000000">
      <w:pPr>
        <w:ind w:firstLine="420"/>
      </w:pPr>
      <w:r>
        <w:t>在社会主义社会，通过国家的宏观调控和计划经济手段，可以有效干预资本的过度集中，实施区域协调发展战略，推动落后地区的经济发展，缩小区域差距。通过政府主导的资源再分配和产业扶持政策，可以将更多的资源和机会导向欠发达地区，促进区域间的均衡发展，从而实现区域社会的整体公正。</w:t>
      </w:r>
    </w:p>
    <w:p w14:paraId="4A325E1E" w14:textId="77777777" w:rsidR="00111E86" w:rsidRDefault="00000000">
      <w:pPr>
        <w:spacing w:line="240" w:lineRule="auto"/>
        <w:ind w:firstLine="420"/>
        <w:jc w:val="center"/>
      </w:pPr>
      <w:r>
        <w:rPr>
          <w:noProof/>
        </w:rPr>
        <w:drawing>
          <wp:inline distT="0" distB="0" distL="114300" distR="114300" wp14:anchorId="0BC5B99B" wp14:editId="3B6E23E9">
            <wp:extent cx="4808220" cy="2214880"/>
            <wp:effectExtent l="9525" t="9525" r="11430" b="13970"/>
            <wp:docPr id="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
                    <pic:cNvPicPr>
                      <a:picLocks noChangeAspect="1"/>
                    </pic:cNvPicPr>
                  </pic:nvPicPr>
                  <pic:blipFill>
                    <a:blip r:embed="rId8"/>
                    <a:stretch>
                      <a:fillRect/>
                    </a:stretch>
                  </pic:blipFill>
                  <pic:spPr>
                    <a:xfrm>
                      <a:off x="0" y="0"/>
                      <a:ext cx="4808220" cy="2214880"/>
                    </a:xfrm>
                    <a:prstGeom prst="rect">
                      <a:avLst/>
                    </a:prstGeom>
                    <a:noFill/>
                    <a:ln w="3175">
                      <a:solidFill>
                        <a:schemeClr val="tx1"/>
                      </a:solidFill>
                    </a:ln>
                  </pic:spPr>
                </pic:pic>
              </a:graphicData>
            </a:graphic>
          </wp:inline>
        </w:drawing>
      </w:r>
    </w:p>
    <w:p w14:paraId="095176E0"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2</w:t>
      </w:r>
      <w:r>
        <w:fldChar w:fldCharType="end"/>
      </w:r>
      <w:r>
        <w:rPr>
          <w:rFonts w:hint="eastAsia"/>
        </w:rPr>
        <w:t xml:space="preserve"> </w:t>
      </w:r>
      <w:r>
        <w:t>发达地区与欠发达地区发展对比图示</w:t>
      </w:r>
    </w:p>
    <w:p w14:paraId="154A17EA" w14:textId="77777777" w:rsidR="00111E86" w:rsidRDefault="00111E86">
      <w:pPr>
        <w:ind w:firstLine="420"/>
      </w:pPr>
    </w:p>
    <w:p w14:paraId="568429BF" w14:textId="77777777" w:rsidR="00111E86" w:rsidRDefault="00111E86">
      <w:pPr>
        <w:ind w:firstLine="420"/>
      </w:pPr>
    </w:p>
    <w:p w14:paraId="27427801" w14:textId="77777777" w:rsidR="00111E86" w:rsidRDefault="00111E86">
      <w:pPr>
        <w:ind w:firstLine="420"/>
      </w:pPr>
    </w:p>
    <w:p w14:paraId="3C027C41" w14:textId="77777777" w:rsidR="00111E86" w:rsidRDefault="00111E86">
      <w:pPr>
        <w:ind w:firstLine="420"/>
      </w:pPr>
    </w:p>
    <w:p w14:paraId="4665A4CD" w14:textId="77777777" w:rsidR="00111E86" w:rsidRDefault="00111E86">
      <w:pPr>
        <w:ind w:firstLine="420"/>
      </w:pPr>
    </w:p>
    <w:p w14:paraId="4470287C" w14:textId="77777777" w:rsidR="00111E86" w:rsidRDefault="00111E86">
      <w:pPr>
        <w:ind w:firstLine="420"/>
      </w:pPr>
    </w:p>
    <w:p w14:paraId="1DCDF8FC" w14:textId="77777777" w:rsidR="00111E86" w:rsidRDefault="00111E86">
      <w:pPr>
        <w:ind w:firstLine="420"/>
      </w:pPr>
    </w:p>
    <w:p w14:paraId="01D5B085" w14:textId="77777777" w:rsidR="00111E86" w:rsidRDefault="00111E86">
      <w:pPr>
        <w:ind w:firstLine="420"/>
      </w:pPr>
    </w:p>
    <w:p w14:paraId="7DE1910A" w14:textId="77777777" w:rsidR="00111E86" w:rsidRDefault="00000000">
      <w:pPr>
        <w:pStyle w:val="1"/>
      </w:pPr>
      <w:r>
        <w:rPr>
          <w:rFonts w:hint="eastAsia"/>
        </w:rPr>
        <w:t>三、</w:t>
      </w:r>
      <w:proofErr w:type="gramStart"/>
      <w:r>
        <w:t>数智化</w:t>
      </w:r>
      <w:proofErr w:type="gramEnd"/>
      <w:r>
        <w:t>转型过程中的区域差异及其马克思主义分析</w:t>
      </w:r>
    </w:p>
    <w:p w14:paraId="51862BB6" w14:textId="77777777" w:rsidR="00111E86" w:rsidRDefault="00000000">
      <w:pPr>
        <w:pStyle w:val="2"/>
      </w:pPr>
      <w:r>
        <w:rPr>
          <w:rFonts w:hint="eastAsia"/>
        </w:rPr>
        <w:t>（一）</w:t>
      </w:r>
      <w:r>
        <w:rPr>
          <w:rFonts w:hint="eastAsia"/>
        </w:rPr>
        <w:t xml:space="preserve"> </w:t>
      </w:r>
      <w:proofErr w:type="gramStart"/>
      <w:r>
        <w:t>数智化</w:t>
      </w:r>
      <w:proofErr w:type="gramEnd"/>
      <w:r>
        <w:t>转型中的区域差异问题</w:t>
      </w:r>
    </w:p>
    <w:p w14:paraId="2347D86F" w14:textId="77777777" w:rsidR="00111E86" w:rsidRDefault="00000000">
      <w:pPr>
        <w:ind w:firstLine="420"/>
      </w:pPr>
      <w:proofErr w:type="gramStart"/>
      <w:r>
        <w:t>数智化</w:t>
      </w:r>
      <w:proofErr w:type="gramEnd"/>
      <w:r>
        <w:t>转型，即数字化与智能化的结合，已经成为当今经济发展的核心推动力。不同区域在数智化转型中的表现差异显著，尤其在经济基础、技术能力和人才储备等方面，区域差异日益明显。这种差异不仅影响了区域经济发展的速度和质量，也对社会公正和区域均衡发展提出了新的挑战。</w:t>
      </w:r>
    </w:p>
    <w:p w14:paraId="1646E2B5" w14:textId="77777777" w:rsidR="00111E86" w:rsidRDefault="00000000">
      <w:pPr>
        <w:ind w:firstLine="422"/>
        <w:rPr>
          <w:b/>
          <w:bCs/>
        </w:rPr>
      </w:pPr>
      <w:r>
        <w:rPr>
          <w:b/>
          <w:bCs/>
        </w:rPr>
        <w:t>差异表现：</w:t>
      </w:r>
    </w:p>
    <w:p w14:paraId="3873FF10" w14:textId="77777777" w:rsidR="00111E86" w:rsidRDefault="00000000">
      <w:pPr>
        <w:ind w:firstLine="420"/>
      </w:pPr>
      <w:r>
        <w:t>发达地区：以深圳为代表的发达地区凭借其强大的经济实力和技术储备，迅速实现</w:t>
      </w:r>
      <w:proofErr w:type="gramStart"/>
      <w:r>
        <w:t>了数智化</w:t>
      </w:r>
      <w:proofErr w:type="gramEnd"/>
      <w:r>
        <w:t>转型，成为全球领先的高新技术和智能制造中心。这些地区拥有密集的</w:t>
      </w:r>
      <w:r>
        <w:t>5G</w:t>
      </w:r>
      <w:r>
        <w:t>网络、先进的物联网基础设施和丰富的技术人才储备，推动了本地经济的快速增长和产业升级。</w:t>
      </w:r>
    </w:p>
    <w:p w14:paraId="550CE353" w14:textId="77777777" w:rsidR="00111E86" w:rsidRDefault="00000000">
      <w:pPr>
        <w:ind w:firstLine="420"/>
      </w:pPr>
      <w:r>
        <w:t>中等发展地区：如安徽省，尽管经济基础较好，但在数智化转型中仍面临一定挑战。安徽</w:t>
      </w:r>
      <w:proofErr w:type="gramStart"/>
      <w:r>
        <w:t>的数智化</w:t>
      </w:r>
      <w:proofErr w:type="gramEnd"/>
      <w:r>
        <w:t>进程主要集中在合肥等经济较为发达的城市，</w:t>
      </w:r>
      <w:proofErr w:type="gramStart"/>
      <w:r>
        <w:t>整体数智化</w:t>
      </w:r>
      <w:proofErr w:type="gramEnd"/>
      <w:r>
        <w:t>水平处于全国中等水平，部分地区</w:t>
      </w:r>
      <w:proofErr w:type="gramStart"/>
      <w:r>
        <w:t>的数智化</w:t>
      </w:r>
      <w:proofErr w:type="gramEnd"/>
      <w:r>
        <w:t>进程仍较为缓慢。</w:t>
      </w:r>
    </w:p>
    <w:p w14:paraId="6A79D12C" w14:textId="77777777" w:rsidR="00111E86" w:rsidRDefault="00000000">
      <w:pPr>
        <w:ind w:firstLine="420"/>
      </w:pPr>
      <w:r>
        <w:t>欠发达地区：如贵州省，虽然近年来通过大数据产业的发展初步</w:t>
      </w:r>
      <w:proofErr w:type="gramStart"/>
      <w:r>
        <w:t>迈向数智化</w:t>
      </w:r>
      <w:proofErr w:type="gramEnd"/>
      <w:r>
        <w:t>，但整体基础设施和技术能力仍较为薄弱。与发达地区相比，贵州在数智化进程中仍面临显著的资源、技术和人才短缺问题，经济增长受限。</w:t>
      </w:r>
    </w:p>
    <w:p w14:paraId="5E5A8602" w14:textId="77777777" w:rsidR="00111E86" w:rsidRDefault="00000000">
      <w:pPr>
        <w:pStyle w:val="2"/>
      </w:pPr>
      <w:r>
        <w:rPr>
          <w:rFonts w:hint="eastAsia"/>
        </w:rPr>
        <w:t>（二）</w:t>
      </w:r>
      <w:proofErr w:type="gramStart"/>
      <w:r>
        <w:t>数智化</w:t>
      </w:r>
      <w:proofErr w:type="gramEnd"/>
      <w:r>
        <w:t>转型背景下的资本集中与区域不平衡</w:t>
      </w:r>
    </w:p>
    <w:p w14:paraId="51D3F2B0" w14:textId="77777777" w:rsidR="00111E86" w:rsidRDefault="00000000">
      <w:pPr>
        <w:pStyle w:val="3"/>
        <w:rPr>
          <w:rFonts w:hint="default"/>
        </w:rPr>
      </w:pPr>
      <w:r>
        <w:t>1</w:t>
      </w:r>
      <w:r>
        <w:t>、资本集中的表现</w:t>
      </w:r>
    </w:p>
    <w:p w14:paraId="4B121C5C" w14:textId="77777777" w:rsidR="00111E86" w:rsidRDefault="00000000">
      <w:pPr>
        <w:ind w:firstLine="420"/>
      </w:pPr>
      <w:proofErr w:type="gramStart"/>
      <w:r>
        <w:t>数智化</w:t>
      </w:r>
      <w:proofErr w:type="gramEnd"/>
      <w:r>
        <w:t>转型过程中，资本倾向于流向回报率更高的发达地区，进一步加剧了区域间的不平衡。深圳等城市吸引了大量的高科技投资，推动了</w:t>
      </w:r>
      <w:proofErr w:type="gramStart"/>
      <w:r>
        <w:t>本地数智化</w:t>
      </w:r>
      <w:proofErr w:type="gramEnd"/>
      <w:r>
        <w:t>基础设施和技术应用的快速发展。而中西部欠发达地区则由于基础设施落后和投资回报率低，难以吸引到足够的资本和技术投资。</w:t>
      </w:r>
    </w:p>
    <w:p w14:paraId="10D6C7C5" w14:textId="77777777" w:rsidR="00111E86" w:rsidRDefault="00000000">
      <w:pPr>
        <w:pStyle w:val="3"/>
        <w:rPr>
          <w:rFonts w:hint="default"/>
        </w:rPr>
      </w:pPr>
      <w:r>
        <w:t>2</w:t>
      </w:r>
      <w:r>
        <w:t>、区域不平衡的结果</w:t>
      </w:r>
    </w:p>
    <w:p w14:paraId="1ABA9BF2" w14:textId="77777777" w:rsidR="00111E86" w:rsidRDefault="00000000">
      <w:pPr>
        <w:ind w:firstLine="420"/>
      </w:pPr>
      <w:r>
        <w:lastRenderedPageBreak/>
        <w:t>这种资本和资源的集中加剧了发达地区与欠发达地区在经济增长、技术应用和人才储备等方面的差距。发达地区得以实现经济的迅速增长和产业的升级，而欠发达地区则面临发展停滞或增长缓慢的困境。这种区域不平衡的发展模式，体现了资本主义生产方式下，资本集中所带来的必然结果。</w:t>
      </w:r>
      <w:r>
        <w:rPr>
          <w:rStyle w:val="a9"/>
        </w:rPr>
        <w:t>[</w:t>
      </w:r>
      <w:r>
        <w:rPr>
          <w:rStyle w:val="a9"/>
        </w:rPr>
        <w:endnoteReference w:id="3"/>
      </w:r>
      <w:r>
        <w:rPr>
          <w:rStyle w:val="a9"/>
        </w:rPr>
        <w:t>]</w:t>
      </w:r>
    </w:p>
    <w:p w14:paraId="03FD626B" w14:textId="77777777" w:rsidR="00111E86" w:rsidRDefault="00000000">
      <w:pPr>
        <w:pStyle w:val="2"/>
        <w:rPr>
          <w:rFonts w:ascii="宋体" w:hAnsi="宋体" w:cs="宋体"/>
          <w:sz w:val="24"/>
        </w:rPr>
      </w:pPr>
      <w:r>
        <w:rPr>
          <w:rFonts w:hint="eastAsia"/>
        </w:rPr>
        <w:t>（三）</w:t>
      </w:r>
      <w:proofErr w:type="gramStart"/>
      <w:r>
        <w:t>数智化</w:t>
      </w:r>
      <w:proofErr w:type="gramEnd"/>
      <w:r>
        <w:t>程度不同地区的经济表现对比</w:t>
      </w:r>
    </w:p>
    <w:p w14:paraId="2AB54BA2" w14:textId="77777777" w:rsidR="00111E86" w:rsidRDefault="00000000">
      <w:pPr>
        <w:ind w:firstLine="420"/>
      </w:pPr>
      <w:r>
        <w:t>东部地区凭借技术和资金优势，率先完成</w:t>
      </w:r>
      <w:proofErr w:type="gramStart"/>
      <w:r>
        <w:t>了数智化</w:t>
      </w:r>
      <w:proofErr w:type="gramEnd"/>
      <w:r>
        <w:t>转型，而中西部及农村地区因基础设施和技术储备的不足，未能同步发展，导致区域间的经济差距进一步扩大。</w:t>
      </w:r>
      <w:r>
        <w:rPr>
          <w:rFonts w:hint="eastAsia"/>
        </w:rPr>
        <w:t>下面对深圳、安徽、贵州三个地区在数智化转型中处于深度、中等和初步做详细对比。</w:t>
      </w:r>
    </w:p>
    <w:p w14:paraId="08235880" w14:textId="77777777" w:rsidR="00111E86" w:rsidRDefault="00000000">
      <w:pPr>
        <w:pStyle w:val="3"/>
        <w:rPr>
          <w:rFonts w:hint="default"/>
        </w:rPr>
      </w:pPr>
      <w:r>
        <w:t>1</w:t>
      </w:r>
      <w:r>
        <w:t>、深圳：</w:t>
      </w:r>
      <w:r>
        <w:t>5G</w:t>
      </w:r>
      <w:r>
        <w:t>技术与智能制造的崛起</w:t>
      </w:r>
    </w:p>
    <w:p w14:paraId="4F06E763" w14:textId="77777777" w:rsidR="00111E86" w:rsidRDefault="00000000">
      <w:pPr>
        <w:ind w:firstLine="420"/>
      </w:pPr>
      <w:r>
        <w:t>深圳是中国</w:t>
      </w:r>
      <w:r>
        <w:t>5G</w:t>
      </w:r>
      <w:r>
        <w:t>技术的先锋城市，依托华为等本地科技巨头，深圳迅速建成了世界上最密集的</w:t>
      </w:r>
      <w:r>
        <w:t>5G</w:t>
      </w:r>
      <w:r>
        <w:t>网络之一。例如，</w:t>
      </w:r>
      <w:r>
        <w:t>2020</w:t>
      </w:r>
      <w:r>
        <w:t>年</w:t>
      </w:r>
      <w:r>
        <w:t>12</w:t>
      </w:r>
      <w:r>
        <w:t>月，富士康科技集团在台湾的</w:t>
      </w:r>
      <w:r>
        <w:t>IEEE GLOBECOMM 2020</w:t>
      </w:r>
      <w:r>
        <w:t>大会上展示了其最新的</w:t>
      </w:r>
      <w:r>
        <w:t>5G</w:t>
      </w:r>
      <w:r>
        <w:t>软硬件创新成果富士康在深圳的智能工厂利用</w:t>
      </w:r>
      <w:r>
        <w:t>5G</w:t>
      </w:r>
      <w:r>
        <w:t>技术，实现了高度自动化和智能化的生产线</w:t>
      </w:r>
      <w:r>
        <w:rPr>
          <w:rFonts w:hint="eastAsia"/>
        </w:rPr>
        <w:t>。</w:t>
      </w:r>
      <w:r>
        <w:rPr>
          <w:rStyle w:val="a9"/>
          <w:rFonts w:hint="eastAsia"/>
        </w:rPr>
        <w:t>[</w:t>
      </w:r>
      <w:r>
        <w:rPr>
          <w:rStyle w:val="a9"/>
          <w:rFonts w:hint="eastAsia"/>
        </w:rPr>
        <w:endnoteReference w:id="4"/>
      </w:r>
      <w:r>
        <w:rPr>
          <w:rStyle w:val="a9"/>
          <w:rFonts w:hint="eastAsia"/>
        </w:rPr>
        <w:t>]</w:t>
      </w:r>
    </w:p>
    <w:p w14:paraId="56E7A657" w14:textId="77777777" w:rsidR="00111E86" w:rsidRDefault="00000000">
      <w:pPr>
        <w:ind w:firstLine="420"/>
      </w:pPr>
      <w:r>
        <w:t>华为，作为全球领先的科技企业之一，也是深圳</w:t>
      </w:r>
      <w:r>
        <w:t>5G</w:t>
      </w:r>
      <w:r>
        <w:t>技术的领军企业，积极推动了</w:t>
      </w:r>
      <w:r>
        <w:t>5G</w:t>
      </w:r>
      <w:r>
        <w:t>技术在全球范围内的应用和普及。华为在</w:t>
      </w:r>
      <w:r>
        <w:t>5G</w:t>
      </w:r>
      <w:r>
        <w:t>技术的研发和应用中，不仅取得了显著的技术突破，还成功将这些技术应用于多个行业，带动了深圳市的整体经济发展。华为在深圳设立了全球规模最大的</w:t>
      </w:r>
      <w:r>
        <w:t>5G</w:t>
      </w:r>
      <w:r>
        <w:t>技术研发中心。通过与全球顶尖科研机构和大学的合作，华为在</w:t>
      </w:r>
      <w:r>
        <w:t>5G</w:t>
      </w:r>
      <w:r>
        <w:t>技术的基础研究和应用开发方面始终保持领先地位。率先将</w:t>
      </w:r>
      <w:r>
        <w:t>5G</w:t>
      </w:r>
      <w:r>
        <w:t>技术应用于</w:t>
      </w:r>
      <w:r>
        <w:rPr>
          <w:rFonts w:hint="eastAsia"/>
        </w:rPr>
        <w:t>各种</w:t>
      </w:r>
      <w:r>
        <w:t>领域。华为的</w:t>
      </w:r>
      <w:r>
        <w:t>5G</w:t>
      </w:r>
      <w:r>
        <w:t>技术不仅大幅提升了自身的国际竞争力，还推动了深圳市整体的智能制造水平和数字经济的发展。通过</w:t>
      </w:r>
      <w:r>
        <w:t>5G</w:t>
      </w:r>
      <w:r>
        <w:t>技术的推广，深圳逐渐成为全球智能制造中心，吸引了大量高新技术企业和人才的聚集，进一步巩固了深圳在全球科技领域的领先地位。这一成功案例充分展示了高新技术对地方经济发展的深远影响，也为其他地区</w:t>
      </w:r>
      <w:proofErr w:type="gramStart"/>
      <w:r>
        <w:t>的数智化</w:t>
      </w:r>
      <w:proofErr w:type="gramEnd"/>
      <w:r>
        <w:t>转型提供了有益的经验和启示。</w:t>
      </w:r>
    </w:p>
    <w:p w14:paraId="0FE54E98" w14:textId="77777777" w:rsidR="00111E86" w:rsidRDefault="00000000">
      <w:pPr>
        <w:spacing w:line="240" w:lineRule="auto"/>
        <w:ind w:firstLine="420"/>
        <w:jc w:val="center"/>
      </w:pPr>
      <w:r>
        <w:rPr>
          <w:noProof/>
        </w:rPr>
        <w:lastRenderedPageBreak/>
        <w:drawing>
          <wp:inline distT="0" distB="0" distL="114300" distR="114300" wp14:anchorId="0B6468C1" wp14:editId="2613760D">
            <wp:extent cx="4195445" cy="2585720"/>
            <wp:effectExtent l="9525" t="9525" r="14605" b="1460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4195445" cy="2585720"/>
                    </a:xfrm>
                    <a:prstGeom prst="rect">
                      <a:avLst/>
                    </a:prstGeom>
                    <a:noFill/>
                    <a:ln w="3175">
                      <a:solidFill>
                        <a:schemeClr val="tx1"/>
                      </a:solidFill>
                    </a:ln>
                  </pic:spPr>
                </pic:pic>
              </a:graphicData>
            </a:graphic>
          </wp:inline>
        </w:drawing>
      </w:r>
    </w:p>
    <w:p w14:paraId="6B04E1C7"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3</w:t>
      </w:r>
      <w:r>
        <w:fldChar w:fldCharType="end"/>
      </w:r>
      <w:r>
        <w:rPr>
          <w:rFonts w:hint="eastAsia"/>
        </w:rPr>
        <w:t xml:space="preserve"> </w:t>
      </w:r>
      <w:r>
        <w:t>2019-2023</w:t>
      </w:r>
      <w:r>
        <w:t>年深圳市</w:t>
      </w:r>
      <w:r>
        <w:t>GDP</w:t>
      </w:r>
      <w:r>
        <w:t>及增长率变化趋势</w:t>
      </w:r>
    </w:p>
    <w:p w14:paraId="355670DA" w14:textId="77777777" w:rsidR="00111E86" w:rsidRDefault="00000000">
      <w:pPr>
        <w:ind w:firstLine="420"/>
      </w:pPr>
      <w:r>
        <w:t>这张图表展示了深圳在过去五年（</w:t>
      </w:r>
      <w:r>
        <w:t>2019-2023</w:t>
      </w:r>
      <w:r>
        <w:t>年）的</w:t>
      </w:r>
      <w:r>
        <w:t>GDP</w:t>
      </w:r>
      <w:r>
        <w:t>和增长率趋势。蓝色的实线代表</w:t>
      </w:r>
      <w:r>
        <w:t>GDP</w:t>
      </w:r>
      <w:r>
        <w:t>（单位为万亿人民币），而绿色的虚线则表示对应年度的增长率（百分比）。从图中可以明显看出，深圳的经济在这五年间经历了不同程度的波动，尤其是</w:t>
      </w:r>
      <w:r>
        <w:t>2023</w:t>
      </w:r>
      <w:r>
        <w:t>年的显著回升，表明了其经济复苏并加速增长的趋势。</w:t>
      </w:r>
    </w:p>
    <w:p w14:paraId="503421DA" w14:textId="77777777" w:rsidR="00111E86" w:rsidRDefault="00000000">
      <w:pPr>
        <w:ind w:firstLine="420"/>
      </w:pPr>
      <w:r>
        <w:t>在这期间，深圳通过</w:t>
      </w:r>
      <w:r>
        <w:t>5G</w:t>
      </w:r>
      <w:r>
        <w:t>技术大力推动了工业互联网和智能制造的发展，成为经济复苏的重要动力。例如，富士康的</w:t>
      </w:r>
      <w:r>
        <w:t>5G</w:t>
      </w:r>
      <w:r>
        <w:t>智能工厂显著提高了生产效率和产值，这样的</w:t>
      </w:r>
      <w:r>
        <w:t>5G</w:t>
      </w:r>
      <w:r>
        <w:t>应用已在多个制造业领域得到推广，对深圳的工业产值贡献巨大。到</w:t>
      </w:r>
      <w:r>
        <w:t>2023</w:t>
      </w:r>
      <w:r>
        <w:t>年，深圳的数字经济已经占到了</w:t>
      </w:r>
      <w:r>
        <w:t>GDP</w:t>
      </w:r>
      <w:r>
        <w:t>的近</w:t>
      </w:r>
      <w:r>
        <w:t>50%</w:t>
      </w:r>
      <w:r>
        <w:t>，其中</w:t>
      </w:r>
      <w:r>
        <w:t>5G</w:t>
      </w:r>
      <w:r>
        <w:t>技术的广泛应用是数字经济快速增长的重要推动力之一。总体来看，数字经济的蓬勃发展反映了</w:t>
      </w:r>
      <w:r>
        <w:t>5G</w:t>
      </w:r>
      <w:r>
        <w:t>等新一代信息技术在推动深圳经济转型升级中的关键作用。</w:t>
      </w:r>
    </w:p>
    <w:p w14:paraId="7B038D0C" w14:textId="77777777" w:rsidR="00111E86" w:rsidRDefault="00000000">
      <w:pPr>
        <w:pStyle w:val="3"/>
        <w:rPr>
          <w:rFonts w:hint="default"/>
        </w:rPr>
      </w:pPr>
      <w:r>
        <w:t>2</w:t>
      </w:r>
      <w:r>
        <w:t>、安徽：工业转型</w:t>
      </w:r>
      <w:proofErr w:type="gramStart"/>
      <w:r>
        <w:t>与数智化</w:t>
      </w:r>
      <w:proofErr w:type="gramEnd"/>
      <w:r>
        <w:t>的推进</w:t>
      </w:r>
    </w:p>
    <w:p w14:paraId="5246F1EE" w14:textId="77777777" w:rsidR="00111E86" w:rsidRDefault="00000000">
      <w:pPr>
        <w:ind w:firstLine="420"/>
      </w:pPr>
      <w:r>
        <w:t>安徽省近年来在工业转型和数智化进程中取得了显著进展，特别是在合肥等城市的带动下。合肥作为安徽省的经济中心，正在积极推动智能制造和高新技术产业的发展。尤其是合肥市，凭借其在半导体和新能源领域的优势，吸引了大量高科技企业和研发机构。</w:t>
      </w:r>
    </w:p>
    <w:p w14:paraId="06BC18F2" w14:textId="77777777" w:rsidR="00111E86" w:rsidRDefault="00000000">
      <w:pPr>
        <w:ind w:firstLine="420"/>
      </w:pPr>
      <w:r>
        <w:t>整体而言，安徽</w:t>
      </w:r>
      <w:proofErr w:type="gramStart"/>
      <w:r>
        <w:t>的数智化</w:t>
      </w:r>
      <w:proofErr w:type="gramEnd"/>
      <w:r>
        <w:t>基础设施和技术应用水平仍然处于全国中等水平。安徽的经济发展在很大程度上依赖于传统制造业和农业，</w:t>
      </w:r>
      <w:proofErr w:type="gramStart"/>
      <w:r>
        <w:t>数智化</w:t>
      </w:r>
      <w:proofErr w:type="gramEnd"/>
      <w:r>
        <w:t>的普及程度与深圳等发达地区相比仍有明显差距。尽管如此，随着合肥智能制造产业的发展壮大，安徽省</w:t>
      </w:r>
      <w:proofErr w:type="gramStart"/>
      <w:r>
        <w:t>的数智化</w:t>
      </w:r>
      <w:proofErr w:type="gramEnd"/>
      <w:r>
        <w:t>水平和经济竞争力正在逐步提升。</w:t>
      </w:r>
    </w:p>
    <w:p w14:paraId="7915BB73" w14:textId="77777777" w:rsidR="00111E86" w:rsidRDefault="00000000">
      <w:pPr>
        <w:spacing w:line="240" w:lineRule="auto"/>
        <w:ind w:firstLine="420"/>
        <w:jc w:val="center"/>
      </w:pPr>
      <w:r>
        <w:rPr>
          <w:noProof/>
        </w:rPr>
        <w:lastRenderedPageBreak/>
        <w:drawing>
          <wp:inline distT="0" distB="0" distL="114300" distR="114300" wp14:anchorId="53A4A491" wp14:editId="6E4A3254">
            <wp:extent cx="4254500" cy="2514600"/>
            <wp:effectExtent l="9525" t="9525" r="12700" b="952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0"/>
                    <a:stretch>
                      <a:fillRect/>
                    </a:stretch>
                  </pic:blipFill>
                  <pic:spPr>
                    <a:xfrm>
                      <a:off x="0" y="0"/>
                      <a:ext cx="4254500" cy="2514600"/>
                    </a:xfrm>
                    <a:prstGeom prst="rect">
                      <a:avLst/>
                    </a:prstGeom>
                    <a:noFill/>
                    <a:ln w="3175">
                      <a:solidFill>
                        <a:schemeClr val="tx1"/>
                      </a:solidFill>
                    </a:ln>
                  </pic:spPr>
                </pic:pic>
              </a:graphicData>
            </a:graphic>
          </wp:inline>
        </w:drawing>
      </w:r>
    </w:p>
    <w:p w14:paraId="51C52C2E"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4</w:t>
      </w:r>
      <w:r>
        <w:fldChar w:fldCharType="end"/>
      </w:r>
      <w:r>
        <w:rPr>
          <w:rFonts w:hint="eastAsia"/>
        </w:rPr>
        <w:t xml:space="preserve">  </w:t>
      </w:r>
      <w:r>
        <w:t>2019-2023</w:t>
      </w:r>
      <w:r>
        <w:t>年</w:t>
      </w:r>
      <w:r>
        <w:rPr>
          <w:rFonts w:hint="eastAsia"/>
        </w:rPr>
        <w:t>安徽省</w:t>
      </w:r>
      <w:r>
        <w:t>GDP</w:t>
      </w:r>
      <w:r>
        <w:t>及增长率变化趋势</w:t>
      </w:r>
    </w:p>
    <w:p w14:paraId="143CAEDD" w14:textId="77777777" w:rsidR="00111E86" w:rsidRDefault="00000000">
      <w:pPr>
        <w:ind w:firstLine="420"/>
      </w:pPr>
      <w:r>
        <w:t>从图表中可以看出，安徽在过去五年（</w:t>
      </w:r>
      <w:r>
        <w:t>2019-2023</w:t>
      </w:r>
      <w:r>
        <w:t>年）的</w:t>
      </w:r>
      <w:r>
        <w:t>GDP</w:t>
      </w:r>
      <w:r>
        <w:t>和增长率表现出一定的波动，尤其是在</w:t>
      </w:r>
      <w:r>
        <w:t>2021</w:t>
      </w:r>
      <w:r>
        <w:t>年的强劲增长，显示出该省在工业升级和经济复苏方面的初步成效。然而，相较于沿海发达地区，如深圳，安徽在数字化和智能化经济的广度和深度上仍有较大的提升空间。未来，进一步推动新兴产业的发展和加快技术创新，将是安徽提升经济质量和竞争力的重要方向。</w:t>
      </w:r>
    </w:p>
    <w:p w14:paraId="770D1911" w14:textId="77777777" w:rsidR="00111E86" w:rsidRDefault="00000000">
      <w:pPr>
        <w:pStyle w:val="3"/>
        <w:rPr>
          <w:rFonts w:hint="default"/>
        </w:rPr>
      </w:pPr>
      <w:r>
        <w:t>3</w:t>
      </w:r>
      <w:r>
        <w:t>、贵州：大数据引领下的</w:t>
      </w:r>
      <w:proofErr w:type="gramStart"/>
      <w:r>
        <w:t>数智化初步</w:t>
      </w:r>
      <w:proofErr w:type="gramEnd"/>
      <w:r>
        <w:t>探索</w:t>
      </w:r>
    </w:p>
    <w:p w14:paraId="4C8797A3" w14:textId="77777777" w:rsidR="00111E86" w:rsidRDefault="00000000">
      <w:pPr>
        <w:ind w:firstLine="420"/>
      </w:pPr>
      <w:r>
        <w:t>贵州省，特别是贵阳市，近年来通过大数据产业的崛起，逐步探索出一条适合自身发展</w:t>
      </w:r>
      <w:proofErr w:type="gramStart"/>
      <w:r>
        <w:t>的数智化</w:t>
      </w:r>
      <w:proofErr w:type="gramEnd"/>
      <w:r>
        <w:t>路径。贵阳凭借其在大数据领域的先发优势，吸引了众多大数据相关企业和项目，成为中国大数据产业的重要中心。贵州省政府积极推动大数据应用，并通过</w:t>
      </w:r>
      <w:proofErr w:type="gramStart"/>
      <w:r>
        <w:t>云计算</w:t>
      </w:r>
      <w:proofErr w:type="gramEnd"/>
      <w:r>
        <w:t>和</w:t>
      </w:r>
      <w:proofErr w:type="gramStart"/>
      <w:r>
        <w:t>物联网</w:t>
      </w:r>
      <w:proofErr w:type="gramEnd"/>
      <w:r>
        <w:t>技术促进传统产业的数字化转型。贵州</w:t>
      </w:r>
      <w:proofErr w:type="gramStart"/>
      <w:r>
        <w:t>的数智化</w:t>
      </w:r>
      <w:proofErr w:type="gramEnd"/>
      <w:r>
        <w:t>基础还较为薄弱，特别是在农村和欠发达地区，信息基础设施的建设和数智化技术的普及仍面临诸多挑战。相比于深圳和安徽，贵州</w:t>
      </w:r>
      <w:proofErr w:type="gramStart"/>
      <w:r>
        <w:t>的数智化</w:t>
      </w:r>
      <w:proofErr w:type="gramEnd"/>
      <w:r>
        <w:t>发展水平仍然较低，但其快速发展的势头和大数据产业的聚集效应为未来的经济增长提供了新的动力。</w:t>
      </w:r>
    </w:p>
    <w:p w14:paraId="08D128CD" w14:textId="77777777" w:rsidR="00111E86" w:rsidRDefault="00000000">
      <w:pPr>
        <w:spacing w:line="240" w:lineRule="auto"/>
        <w:ind w:firstLine="420"/>
        <w:jc w:val="center"/>
      </w:pPr>
      <w:r>
        <w:rPr>
          <w:noProof/>
        </w:rPr>
        <w:lastRenderedPageBreak/>
        <w:drawing>
          <wp:inline distT="0" distB="0" distL="114300" distR="114300" wp14:anchorId="2F79B0AF" wp14:editId="6A7C0044">
            <wp:extent cx="4148455" cy="2447290"/>
            <wp:effectExtent l="9525" t="9525" r="13970" b="1016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1"/>
                    <a:stretch>
                      <a:fillRect/>
                    </a:stretch>
                  </pic:blipFill>
                  <pic:spPr>
                    <a:xfrm>
                      <a:off x="0" y="0"/>
                      <a:ext cx="4148455" cy="2447290"/>
                    </a:xfrm>
                    <a:prstGeom prst="rect">
                      <a:avLst/>
                    </a:prstGeom>
                    <a:noFill/>
                    <a:ln w="3175">
                      <a:solidFill>
                        <a:schemeClr val="tx1"/>
                      </a:solidFill>
                    </a:ln>
                  </pic:spPr>
                </pic:pic>
              </a:graphicData>
            </a:graphic>
          </wp:inline>
        </w:drawing>
      </w:r>
    </w:p>
    <w:p w14:paraId="5B16F91E"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5</w:t>
      </w:r>
      <w:r>
        <w:fldChar w:fldCharType="end"/>
      </w:r>
      <w:r>
        <w:rPr>
          <w:rFonts w:hint="eastAsia"/>
        </w:rPr>
        <w:t xml:space="preserve">  </w:t>
      </w:r>
      <w:r>
        <w:t>2019-2023</w:t>
      </w:r>
      <w:r>
        <w:t>年</w:t>
      </w:r>
      <w:r>
        <w:rPr>
          <w:rFonts w:hint="eastAsia"/>
        </w:rPr>
        <w:t>贵州省</w:t>
      </w:r>
      <w:r>
        <w:t>GDP</w:t>
      </w:r>
      <w:r>
        <w:t>及增长率变化趋势</w:t>
      </w:r>
    </w:p>
    <w:p w14:paraId="1B5FDA07" w14:textId="77777777" w:rsidR="00111E86" w:rsidRDefault="00000000">
      <w:pPr>
        <w:ind w:firstLine="420"/>
      </w:pPr>
      <w:r>
        <w:t>从图表中可以看出，贵州在过去五年（</w:t>
      </w:r>
      <w:r>
        <w:t>2019-2023</w:t>
      </w:r>
      <w:r>
        <w:t>年）的</w:t>
      </w:r>
      <w:r>
        <w:t>GDP</w:t>
      </w:r>
      <w:r>
        <w:t>增长保持稳定，但增速相对较低</w:t>
      </w:r>
      <w:r>
        <w:rPr>
          <w:rFonts w:hint="eastAsia"/>
        </w:rPr>
        <w:t>。</w:t>
      </w:r>
      <w:r>
        <w:t>贵阳的大数据产业发展迅速，但贵州省</w:t>
      </w:r>
      <w:proofErr w:type="gramStart"/>
      <w:r>
        <w:t>整体的数智化</w:t>
      </w:r>
      <w:proofErr w:type="gramEnd"/>
      <w:r>
        <w:t>经济尚处于发展初期，与全国其他省市相比仍有较大提升空间。</w:t>
      </w:r>
    </w:p>
    <w:p w14:paraId="473C081F" w14:textId="77777777" w:rsidR="00111E86" w:rsidRDefault="00000000">
      <w:pPr>
        <w:pStyle w:val="2"/>
      </w:pPr>
      <w:r>
        <w:rPr>
          <w:rFonts w:hint="eastAsia"/>
        </w:rPr>
        <w:t>4</w:t>
      </w:r>
      <w:r>
        <w:rPr>
          <w:rFonts w:hint="eastAsia"/>
        </w:rPr>
        <w:t>、对比与总结</w:t>
      </w:r>
    </w:p>
    <w:p w14:paraId="65107556" w14:textId="77777777" w:rsidR="00111E86" w:rsidRDefault="00000000">
      <w:pPr>
        <w:ind w:firstLine="420"/>
      </w:pPr>
      <w:r>
        <w:t>通过对深圳、安徽和贵州三个地区的分析可以看出，</w:t>
      </w:r>
      <w:proofErr w:type="gramStart"/>
      <w:r>
        <w:t>数智化</w:t>
      </w:r>
      <w:proofErr w:type="gramEnd"/>
      <w:r>
        <w:t>水平对区域经济发展的影响显著。</w:t>
      </w:r>
      <w:r>
        <w:rPr>
          <w:rFonts w:hint="eastAsia"/>
        </w:rPr>
        <w:t>数值化程度通常与经济增长成正相关。</w:t>
      </w:r>
      <w:r>
        <w:t>例如，深圳凭借其高水平</w:t>
      </w:r>
      <w:proofErr w:type="gramStart"/>
      <w:r>
        <w:t>的数智化</w:t>
      </w:r>
      <w:proofErr w:type="gramEnd"/>
      <w:r>
        <w:t>基础设施和广泛应用，持续保持较高的经济增速，并在全球科技领域占据领先地位。安徽作为数智化水平中等的省份，依靠智能制造和服务业的推动，经济增长表现稳健，但仍有提升空间。相比之下，贵州虽然在大数据产业上有所突破，但</w:t>
      </w:r>
      <w:proofErr w:type="gramStart"/>
      <w:r>
        <w:t>整体数智化</w:t>
      </w:r>
      <w:proofErr w:type="gramEnd"/>
      <w:r>
        <w:t>水平较低，经济增长波动较大，仍需在基础设施和产业升级方面进一步努力。</w:t>
      </w:r>
    </w:p>
    <w:p w14:paraId="4372498C" w14:textId="77777777" w:rsidR="00111E86" w:rsidRDefault="00000000">
      <w:pPr>
        <w:spacing w:line="240" w:lineRule="auto"/>
        <w:ind w:firstLine="420"/>
        <w:jc w:val="center"/>
      </w:pPr>
      <w:r>
        <w:rPr>
          <w:noProof/>
        </w:rPr>
        <w:lastRenderedPageBreak/>
        <w:drawing>
          <wp:inline distT="0" distB="0" distL="114300" distR="114300" wp14:anchorId="3223109D" wp14:editId="06411DB2">
            <wp:extent cx="4239895" cy="2980055"/>
            <wp:effectExtent l="9525" t="9525" r="17780" b="1079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2"/>
                    <a:stretch>
                      <a:fillRect/>
                    </a:stretch>
                  </pic:blipFill>
                  <pic:spPr>
                    <a:xfrm>
                      <a:off x="0" y="0"/>
                      <a:ext cx="4239895" cy="2980055"/>
                    </a:xfrm>
                    <a:prstGeom prst="rect">
                      <a:avLst/>
                    </a:prstGeom>
                    <a:noFill/>
                    <a:ln w="3175">
                      <a:solidFill>
                        <a:schemeClr val="tx1"/>
                      </a:solidFill>
                    </a:ln>
                  </pic:spPr>
                </pic:pic>
              </a:graphicData>
            </a:graphic>
          </wp:inline>
        </w:drawing>
      </w:r>
    </w:p>
    <w:p w14:paraId="127C4984"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6</w:t>
      </w:r>
      <w:r>
        <w:fldChar w:fldCharType="end"/>
      </w:r>
      <w:r>
        <w:rPr>
          <w:rFonts w:hint="eastAsia"/>
        </w:rPr>
        <w:t xml:space="preserve">  2</w:t>
      </w:r>
      <w:r>
        <w:t>019-2023</w:t>
      </w:r>
      <w:r>
        <w:t>年深圳、安徽、贵州</w:t>
      </w:r>
      <w:r>
        <w:t>GDP</w:t>
      </w:r>
      <w:r>
        <w:t>及增长率对比</w:t>
      </w:r>
    </w:p>
    <w:p w14:paraId="451D15A2" w14:textId="77777777" w:rsidR="00111E86" w:rsidRDefault="00000000">
      <w:pPr>
        <w:ind w:firstLine="420"/>
      </w:pPr>
      <w:r>
        <w:rPr>
          <w:rFonts w:hint="eastAsia"/>
        </w:rPr>
        <w:t>从</w:t>
      </w:r>
      <w:r>
        <w:t>深圳、安徽和贵州三个地区的</w:t>
      </w:r>
      <w:r>
        <w:t>GDP</w:t>
      </w:r>
      <w:r>
        <w:t>增长率和数智化投入占比可以看到，深圳在数智化投入上持续增长，</w:t>
      </w:r>
      <w:r>
        <w:t>GDP</w:t>
      </w:r>
      <w:r>
        <w:t>增长率也保持较高水平，这表明高水平</w:t>
      </w:r>
      <w:proofErr w:type="gramStart"/>
      <w:r>
        <w:t>的数智化</w:t>
      </w:r>
      <w:proofErr w:type="gramEnd"/>
      <w:r>
        <w:t>投入对经济增长具有显著推动作用。相比之下，安徽和贵州</w:t>
      </w:r>
      <w:proofErr w:type="gramStart"/>
      <w:r>
        <w:t>的数智化</w:t>
      </w:r>
      <w:proofErr w:type="gramEnd"/>
      <w:r>
        <w:t>投入较低，尤其是贵州，尽管在数智化方面有所突破，但总体增长率仍落后于深圳和安徽。</w:t>
      </w:r>
    </w:p>
    <w:p w14:paraId="07D3C90A" w14:textId="77777777" w:rsidR="00111E86" w:rsidRDefault="00000000">
      <w:pPr>
        <w:ind w:firstLine="420"/>
      </w:pPr>
      <w:r>
        <w:t>总体而言，数字化和智能化转型已经成为推动区域经济高质量发展的关键动力。不同地区应根据自身的发展条件和产业结构，积极</w:t>
      </w:r>
      <w:proofErr w:type="gramStart"/>
      <w:r>
        <w:t>推进数智化</w:t>
      </w:r>
      <w:proofErr w:type="gramEnd"/>
      <w:r>
        <w:t>进程，以提升经济竞争力，实现更高水平的共同富裕。</w:t>
      </w:r>
    </w:p>
    <w:p w14:paraId="62D4284C" w14:textId="77777777" w:rsidR="00111E86" w:rsidRDefault="00111E86">
      <w:pPr>
        <w:ind w:firstLine="420"/>
      </w:pPr>
    </w:p>
    <w:p w14:paraId="001AD723" w14:textId="77777777" w:rsidR="00111E86" w:rsidRDefault="00111E86">
      <w:pPr>
        <w:ind w:firstLine="420"/>
      </w:pPr>
    </w:p>
    <w:p w14:paraId="20BBFFEE" w14:textId="77777777" w:rsidR="00111E86" w:rsidRDefault="00111E86">
      <w:pPr>
        <w:ind w:firstLine="420"/>
      </w:pPr>
    </w:p>
    <w:p w14:paraId="6756195D" w14:textId="77777777" w:rsidR="00111E86" w:rsidRDefault="00111E86">
      <w:pPr>
        <w:ind w:firstLine="420"/>
      </w:pPr>
    </w:p>
    <w:p w14:paraId="6D17ED15" w14:textId="77777777" w:rsidR="00111E86" w:rsidRDefault="00111E86">
      <w:pPr>
        <w:ind w:firstLine="420"/>
      </w:pPr>
    </w:p>
    <w:p w14:paraId="49EF38D6" w14:textId="77777777" w:rsidR="00111E86" w:rsidRDefault="00111E86">
      <w:pPr>
        <w:ind w:firstLine="420"/>
      </w:pPr>
    </w:p>
    <w:p w14:paraId="79644D78" w14:textId="77777777" w:rsidR="00111E86" w:rsidRDefault="00111E86">
      <w:pPr>
        <w:ind w:firstLine="420"/>
      </w:pPr>
    </w:p>
    <w:p w14:paraId="17FCEBBC" w14:textId="77777777" w:rsidR="00111E86" w:rsidRDefault="00111E86">
      <w:pPr>
        <w:ind w:firstLine="420"/>
      </w:pPr>
    </w:p>
    <w:p w14:paraId="5CEC3794" w14:textId="77777777" w:rsidR="00111E86" w:rsidRDefault="00111E86">
      <w:pPr>
        <w:ind w:firstLine="420"/>
      </w:pPr>
    </w:p>
    <w:p w14:paraId="6D1D1004" w14:textId="77777777" w:rsidR="00111E86" w:rsidRDefault="00111E86">
      <w:pPr>
        <w:ind w:firstLineChars="0" w:firstLine="0"/>
      </w:pPr>
    </w:p>
    <w:p w14:paraId="0EFC4ED6" w14:textId="77777777" w:rsidR="00111E86" w:rsidRDefault="00000000">
      <w:pPr>
        <w:pStyle w:val="1"/>
      </w:pPr>
      <w:r>
        <w:rPr>
          <w:rFonts w:hint="eastAsia"/>
        </w:rPr>
        <w:t>四、</w:t>
      </w:r>
      <w:proofErr w:type="gramStart"/>
      <w:r>
        <w:t>数智化</w:t>
      </w:r>
      <w:proofErr w:type="gramEnd"/>
      <w:r>
        <w:t>转型对中国区域经济差异及社会影响的分析</w:t>
      </w:r>
    </w:p>
    <w:p w14:paraId="00691215" w14:textId="77777777" w:rsidR="00111E86" w:rsidRDefault="00000000">
      <w:pPr>
        <w:pStyle w:val="2"/>
      </w:pPr>
      <w:r>
        <w:rPr>
          <w:rFonts w:hint="eastAsia"/>
        </w:rPr>
        <w:t>（一）</w:t>
      </w:r>
      <w:r>
        <w:t>技术鸿沟与区域差异的加剧</w:t>
      </w:r>
    </w:p>
    <w:p w14:paraId="59E754CB" w14:textId="77777777" w:rsidR="00111E86" w:rsidRDefault="00000000">
      <w:pPr>
        <w:pStyle w:val="3"/>
        <w:rPr>
          <w:rFonts w:hint="default"/>
        </w:rPr>
      </w:pPr>
      <w:r>
        <w:t>1</w:t>
      </w:r>
      <w:r>
        <w:t>、</w:t>
      </w:r>
      <w:r>
        <w:t xml:space="preserve"> </w:t>
      </w:r>
      <w:r>
        <w:t>部分地区数值化程度背景现状分析</w:t>
      </w:r>
    </w:p>
    <w:p w14:paraId="1AACCD30" w14:textId="77777777" w:rsidR="00111E86" w:rsidRDefault="00000000">
      <w:pPr>
        <w:ind w:firstLine="420"/>
      </w:pPr>
      <w:r>
        <w:t>在数智化转型过程中，各地区的技术基础和数字基础设施差异显著，导致了技术鸿沟的扩大。东部沿海发达地区，如深圳、上海和北京，凭借强大的经济实力，早在数智化浪潮初期就完成了信息化基础设施的建设。这些地区具备了高速互联网、智能制造设备、</w:t>
      </w:r>
      <w:proofErr w:type="gramStart"/>
      <w:r>
        <w:t>云计算</w:t>
      </w:r>
      <w:proofErr w:type="gramEnd"/>
      <w:r>
        <w:t>平台等先进的数字技术应用条件，能够更迅速地适应并</w:t>
      </w:r>
      <w:proofErr w:type="gramStart"/>
      <w:r>
        <w:t>推动数智化</w:t>
      </w:r>
      <w:proofErr w:type="gramEnd"/>
      <w:r>
        <w:t>转型。</w:t>
      </w:r>
    </w:p>
    <w:p w14:paraId="72485957" w14:textId="77777777" w:rsidR="00111E86" w:rsidRDefault="00000000">
      <w:pPr>
        <w:spacing w:line="240" w:lineRule="auto"/>
        <w:ind w:firstLine="420"/>
        <w:jc w:val="center"/>
      </w:pPr>
      <w:r>
        <w:rPr>
          <w:noProof/>
        </w:rPr>
        <w:drawing>
          <wp:inline distT="0" distB="0" distL="114300" distR="114300" wp14:anchorId="0B1CF428" wp14:editId="70CF68BD">
            <wp:extent cx="3753485" cy="2905125"/>
            <wp:effectExtent l="9525" t="9525" r="18415" b="9525"/>
            <wp:docPr id="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
                    <pic:cNvPicPr>
                      <a:picLocks noChangeAspect="1"/>
                    </pic:cNvPicPr>
                  </pic:nvPicPr>
                  <pic:blipFill>
                    <a:blip r:embed="rId13"/>
                    <a:stretch>
                      <a:fillRect/>
                    </a:stretch>
                  </pic:blipFill>
                  <pic:spPr>
                    <a:xfrm>
                      <a:off x="0" y="0"/>
                      <a:ext cx="3753485" cy="2905125"/>
                    </a:xfrm>
                    <a:prstGeom prst="rect">
                      <a:avLst/>
                    </a:prstGeom>
                    <a:noFill/>
                    <a:ln w="3175">
                      <a:solidFill>
                        <a:schemeClr val="tx1"/>
                      </a:solidFill>
                    </a:ln>
                  </pic:spPr>
                </pic:pic>
              </a:graphicData>
            </a:graphic>
          </wp:inline>
        </w:drawing>
      </w:r>
    </w:p>
    <w:p w14:paraId="5C985391"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7</w:t>
      </w:r>
      <w:r>
        <w:fldChar w:fldCharType="end"/>
      </w:r>
      <w:r>
        <w:rPr>
          <w:rFonts w:hint="eastAsia"/>
        </w:rPr>
        <w:t xml:space="preserve"> </w:t>
      </w:r>
      <w:r>
        <w:t>各地区的技术基础设施</w:t>
      </w:r>
      <w:proofErr w:type="gramStart"/>
      <w:r>
        <w:t>与数智</w:t>
      </w:r>
      <w:r>
        <w:rPr>
          <w:rFonts w:hint="eastAsia"/>
        </w:rPr>
        <w:t>大体</w:t>
      </w:r>
      <w:proofErr w:type="gramEnd"/>
      <w:r>
        <w:t>能力分布</w:t>
      </w:r>
    </w:p>
    <w:p w14:paraId="5ACAD058" w14:textId="77777777" w:rsidR="00111E86" w:rsidRDefault="00000000">
      <w:pPr>
        <w:ind w:firstLine="420"/>
      </w:pPr>
      <w:r>
        <w:t>这张图展示了中国各地区在</w:t>
      </w:r>
      <w:r>
        <w:t>5G</w:t>
      </w:r>
      <w:r>
        <w:t>技术基础设施和数智化能力方面的分布情况。数据显示，深圳、上海和北京地区的</w:t>
      </w:r>
      <w:r>
        <w:t>5G</w:t>
      </w:r>
      <w:r>
        <w:t>基站覆盖率分别为</w:t>
      </w:r>
      <w:r>
        <w:t>95%</w:t>
      </w:r>
      <w:r>
        <w:t>、</w:t>
      </w:r>
      <w:r>
        <w:t>90%</w:t>
      </w:r>
      <w:r>
        <w:t>和</w:t>
      </w:r>
      <w:r>
        <w:t>85%</w:t>
      </w:r>
      <w:r>
        <w:t>，这些地区的</w:t>
      </w:r>
      <w:r>
        <w:t>5G</w:t>
      </w:r>
      <w:r>
        <w:t>基站数量超过了</w:t>
      </w:r>
      <w:r>
        <w:t>8</w:t>
      </w:r>
      <w:r>
        <w:t>万个。而内陆省份和农村地区的</w:t>
      </w:r>
      <w:r>
        <w:t>5G</w:t>
      </w:r>
      <w:r>
        <w:t>基站覆盖率相对较低，分别为</w:t>
      </w:r>
      <w:r>
        <w:t>60%</w:t>
      </w:r>
      <w:r>
        <w:t>和</w:t>
      </w:r>
      <w:r>
        <w:t>50%</w:t>
      </w:r>
      <w:r>
        <w:t>，</w:t>
      </w:r>
      <w:r>
        <w:t>5G</w:t>
      </w:r>
      <w:r>
        <w:t>基站数量分别为</w:t>
      </w:r>
      <w:r>
        <w:t>5.5</w:t>
      </w:r>
      <w:r>
        <w:t>万个和</w:t>
      </w:r>
      <w:r>
        <w:t>4</w:t>
      </w:r>
      <w:r>
        <w:t>万个。这些数据反映了中国在</w:t>
      </w:r>
      <w:r>
        <w:t>5G</w:t>
      </w:r>
      <w:r>
        <w:t>网络建设上的地区差异，其中城市地区的</w:t>
      </w:r>
      <w:r>
        <w:t>5G</w:t>
      </w:r>
      <w:r>
        <w:t>部署明显优于内陆省份和农村地区。</w:t>
      </w:r>
      <w:r>
        <w:rPr>
          <w:rStyle w:val="a9"/>
        </w:rPr>
        <w:t>[</w:t>
      </w:r>
      <w:r>
        <w:rPr>
          <w:rStyle w:val="a9"/>
        </w:rPr>
        <w:endnoteReference w:id="5"/>
      </w:r>
      <w:r>
        <w:rPr>
          <w:rStyle w:val="a9"/>
        </w:rPr>
        <w:t>]</w:t>
      </w:r>
    </w:p>
    <w:p w14:paraId="31A7A4AC" w14:textId="77777777" w:rsidR="00111E86" w:rsidRDefault="00000000">
      <w:pPr>
        <w:pStyle w:val="3"/>
        <w:rPr>
          <w:rFonts w:hint="default"/>
        </w:rPr>
      </w:pPr>
      <w:r>
        <w:t>2</w:t>
      </w:r>
      <w:r>
        <w:t>、</w:t>
      </w:r>
      <w:r>
        <w:t xml:space="preserve"> </w:t>
      </w:r>
      <w:r>
        <w:t>东部沿海发达地区的优势</w:t>
      </w:r>
    </w:p>
    <w:p w14:paraId="0765391F" w14:textId="77777777" w:rsidR="00111E86" w:rsidRDefault="00000000">
      <w:pPr>
        <w:ind w:firstLine="420"/>
      </w:pPr>
      <w:r>
        <w:t>发达地区的优势不仅表现在基础设施上，还体现在技术研发和创新能力的领先地位。以深圳为例，作为中国的科技创新中心，深圳在</w:t>
      </w:r>
      <w:r>
        <w:t>5G</w:t>
      </w:r>
      <w:r>
        <w:t>网络建设、人工智能应用、物联网发展等</w:t>
      </w:r>
      <w:r>
        <w:lastRenderedPageBreak/>
        <w:t>方面处于世界前列。这些地区通过与国内外科技企业、高校和研究机构的合作，迅速积累并掌握了前沿技术，形成了强大的创新生态系统。此外，这些地区的数字经济规模庞大，涵盖了电子商务、金融科技、智慧城市建设等多个领域，为当地经济发展提供了强大的支撑。</w:t>
      </w:r>
    </w:p>
    <w:p w14:paraId="514D1D8C" w14:textId="77777777" w:rsidR="00111E86" w:rsidRDefault="00000000">
      <w:pPr>
        <w:spacing w:line="240" w:lineRule="auto"/>
        <w:ind w:firstLine="420"/>
        <w:jc w:val="center"/>
      </w:pPr>
      <w:r>
        <w:rPr>
          <w:noProof/>
        </w:rPr>
        <w:drawing>
          <wp:inline distT="0" distB="0" distL="114300" distR="114300" wp14:anchorId="5FF1FC11" wp14:editId="615FF71C">
            <wp:extent cx="3308350" cy="2172970"/>
            <wp:effectExtent l="9525" t="9525" r="15875" b="17780"/>
            <wp:docPr id="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0"/>
                    <pic:cNvPicPr>
                      <a:picLocks noChangeAspect="1"/>
                    </pic:cNvPicPr>
                  </pic:nvPicPr>
                  <pic:blipFill>
                    <a:blip r:embed="rId14"/>
                    <a:srcRect t="7851"/>
                    <a:stretch>
                      <a:fillRect/>
                    </a:stretch>
                  </pic:blipFill>
                  <pic:spPr>
                    <a:xfrm>
                      <a:off x="0" y="0"/>
                      <a:ext cx="3308350" cy="2172970"/>
                    </a:xfrm>
                    <a:prstGeom prst="rect">
                      <a:avLst/>
                    </a:prstGeom>
                    <a:noFill/>
                    <a:ln w="3175">
                      <a:solidFill>
                        <a:schemeClr val="tx1"/>
                      </a:solidFill>
                    </a:ln>
                  </pic:spPr>
                </pic:pic>
              </a:graphicData>
            </a:graphic>
          </wp:inline>
        </w:drawing>
      </w:r>
    </w:p>
    <w:p w14:paraId="1673620C"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8</w:t>
      </w:r>
      <w:r>
        <w:fldChar w:fldCharType="end"/>
      </w:r>
      <w:r>
        <w:rPr>
          <w:rFonts w:hint="eastAsia"/>
        </w:rPr>
        <w:t xml:space="preserve"> </w:t>
      </w:r>
      <w:r>
        <w:t>东部沿海发达地区</w:t>
      </w:r>
      <w:proofErr w:type="gramStart"/>
      <w:r>
        <w:t>的数智化</w:t>
      </w:r>
      <w:proofErr w:type="gramEnd"/>
      <w:r>
        <w:t>技术应用领域对比</w:t>
      </w:r>
    </w:p>
    <w:p w14:paraId="63852632" w14:textId="77777777" w:rsidR="00111E86" w:rsidRDefault="00000000">
      <w:pPr>
        <w:pStyle w:val="3"/>
        <w:rPr>
          <w:rFonts w:hint="default"/>
        </w:rPr>
      </w:pPr>
      <w:r>
        <w:t>3</w:t>
      </w:r>
      <w:r>
        <w:t>、</w:t>
      </w:r>
      <w:r>
        <w:t xml:space="preserve"> </w:t>
      </w:r>
      <w:r>
        <w:t>中西部和农村地区的挑战</w:t>
      </w:r>
    </w:p>
    <w:p w14:paraId="06174314" w14:textId="77777777" w:rsidR="00111E86" w:rsidRDefault="00000000">
      <w:pPr>
        <w:ind w:firstLine="420"/>
      </w:pPr>
      <w:r>
        <w:t>相较之下，中西部地区和农村地区由于经济基础较为薄弱，</w:t>
      </w:r>
      <w:proofErr w:type="gramStart"/>
      <w:r>
        <w:t>数智化</w:t>
      </w:r>
      <w:proofErr w:type="gramEnd"/>
      <w:r>
        <w:t>转型面临诸多挑战。首先，这些地区的基础设施建设相对滞后，宽带网络覆盖不全，数据中心、</w:t>
      </w:r>
      <w:proofErr w:type="gramStart"/>
      <w:r>
        <w:t>云计算</w:t>
      </w:r>
      <w:proofErr w:type="gramEnd"/>
      <w:r>
        <w:t>设施不足，导致企业和居民在使用数字技术时受到限制。其次，技术应用水平不高，缺乏高素质的技术人才和创新型企业，使得这些地区难以有效利用数字技术提升生产效率和经济效益。此外，由于市场规模较小、投资回报率较低，发达地区的先进技术和创新成果难以在这些地区推广和应用。</w:t>
      </w:r>
    </w:p>
    <w:p w14:paraId="457513DB" w14:textId="77777777" w:rsidR="00111E86" w:rsidRDefault="00000000">
      <w:pPr>
        <w:spacing w:line="240" w:lineRule="auto"/>
        <w:ind w:firstLine="420"/>
        <w:jc w:val="center"/>
      </w:pPr>
      <w:r>
        <w:rPr>
          <w:noProof/>
        </w:rPr>
        <w:drawing>
          <wp:inline distT="0" distB="0" distL="114300" distR="114300" wp14:anchorId="3997CC55" wp14:editId="0F86A695">
            <wp:extent cx="4681220" cy="2823845"/>
            <wp:effectExtent l="9525" t="9525" r="14605" b="1460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5"/>
                    <a:stretch>
                      <a:fillRect/>
                    </a:stretch>
                  </pic:blipFill>
                  <pic:spPr>
                    <a:xfrm>
                      <a:off x="0" y="0"/>
                      <a:ext cx="4681220" cy="2823845"/>
                    </a:xfrm>
                    <a:prstGeom prst="rect">
                      <a:avLst/>
                    </a:prstGeom>
                    <a:noFill/>
                    <a:ln w="3175">
                      <a:solidFill>
                        <a:schemeClr val="tx1"/>
                      </a:solidFill>
                    </a:ln>
                  </pic:spPr>
                </pic:pic>
              </a:graphicData>
            </a:graphic>
          </wp:inline>
        </w:drawing>
      </w:r>
    </w:p>
    <w:p w14:paraId="37879E3D" w14:textId="77777777" w:rsidR="00111E86" w:rsidRDefault="00000000">
      <w:pPr>
        <w:pStyle w:val="a3"/>
        <w:spacing w:line="240" w:lineRule="auto"/>
        <w:ind w:firstLine="400"/>
        <w:jc w:val="center"/>
      </w:pPr>
      <w:r>
        <w:lastRenderedPageBreak/>
        <w:t>图</w:t>
      </w:r>
      <w:r>
        <w:t xml:space="preserve"> </w:t>
      </w:r>
      <w:r>
        <w:fldChar w:fldCharType="begin"/>
      </w:r>
      <w:r>
        <w:instrText xml:space="preserve"> SEQ </w:instrText>
      </w:r>
      <w:r>
        <w:instrText>图</w:instrText>
      </w:r>
      <w:r>
        <w:instrText xml:space="preserve"> \* ARABIC </w:instrText>
      </w:r>
      <w:r>
        <w:fldChar w:fldCharType="separate"/>
      </w:r>
      <w:r>
        <w:t>9</w:t>
      </w:r>
      <w:r>
        <w:fldChar w:fldCharType="end"/>
      </w:r>
      <w:r>
        <w:rPr>
          <w:rFonts w:hint="eastAsia"/>
        </w:rPr>
        <w:t xml:space="preserve"> </w:t>
      </w:r>
      <w:proofErr w:type="gramStart"/>
      <w:r>
        <w:t>数智化</w:t>
      </w:r>
      <w:proofErr w:type="gramEnd"/>
      <w:r>
        <w:t>转型缓慢的主要原因分析图</w:t>
      </w:r>
    </w:p>
    <w:p w14:paraId="68CE504A" w14:textId="77777777" w:rsidR="00111E86" w:rsidRDefault="00000000">
      <w:pPr>
        <w:pStyle w:val="3"/>
        <w:rPr>
          <w:rFonts w:hint="default"/>
        </w:rPr>
      </w:pPr>
      <w:r>
        <w:t>4</w:t>
      </w:r>
      <w:r>
        <w:t>、</w:t>
      </w:r>
      <w:r>
        <w:t xml:space="preserve"> </w:t>
      </w:r>
      <w:r>
        <w:t>技术鸿沟的影响</w:t>
      </w:r>
    </w:p>
    <w:p w14:paraId="4DEB27AF" w14:textId="77777777" w:rsidR="00111E86" w:rsidRDefault="00000000">
      <w:pPr>
        <w:ind w:firstLine="420"/>
      </w:pPr>
      <w:r>
        <w:t>这种技术鸿沟不仅体现在经济效益上，还加剧了区域间的社会差距。发达地区能够</w:t>
      </w:r>
      <w:proofErr w:type="gramStart"/>
      <w:r>
        <w:t>通过数智化</w:t>
      </w:r>
      <w:proofErr w:type="gramEnd"/>
      <w:r>
        <w:t>转型加速经济增长，提升公共服务质量，如智慧医疗、智能教育、智能交通等，进一步提高居民的生活水平。而欠发达地区由于技术和资源的缺乏，难以享受到这些现代化服务，居民的生活质量和发展机会受限。最终，这种技术鸿沟导致了发达地区与欠发达地区在经济发展、社会服务、生活质量等方面的全面差距，区域间的不平衡进一步扩大。</w:t>
      </w:r>
    </w:p>
    <w:p w14:paraId="515E47A1" w14:textId="77777777" w:rsidR="00111E86" w:rsidRDefault="00000000">
      <w:pPr>
        <w:spacing w:line="240" w:lineRule="auto"/>
        <w:ind w:firstLine="420"/>
        <w:jc w:val="center"/>
      </w:pPr>
      <w:r>
        <w:rPr>
          <w:noProof/>
        </w:rPr>
        <w:drawing>
          <wp:inline distT="0" distB="0" distL="114300" distR="114300" wp14:anchorId="3BB16378" wp14:editId="1F41B50F">
            <wp:extent cx="2971800" cy="2534285"/>
            <wp:effectExtent l="9525" t="9525" r="952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2971800" cy="2534285"/>
                    </a:xfrm>
                    <a:prstGeom prst="rect">
                      <a:avLst/>
                    </a:prstGeom>
                    <a:noFill/>
                    <a:ln w="3175">
                      <a:solidFill>
                        <a:schemeClr val="tx1"/>
                      </a:solidFill>
                    </a:ln>
                  </pic:spPr>
                </pic:pic>
              </a:graphicData>
            </a:graphic>
          </wp:inline>
        </w:drawing>
      </w:r>
    </w:p>
    <w:p w14:paraId="28EECA46"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10</w:t>
      </w:r>
      <w:r>
        <w:fldChar w:fldCharType="end"/>
      </w:r>
      <w:r>
        <w:rPr>
          <w:rFonts w:hint="eastAsia"/>
        </w:rPr>
        <w:t xml:space="preserve"> </w:t>
      </w:r>
      <w:r>
        <w:t>技术鸿沟引发的区域发展差距分析图</w:t>
      </w:r>
    </w:p>
    <w:p w14:paraId="6BD2B0A6" w14:textId="77777777" w:rsidR="00111E86" w:rsidRDefault="00000000">
      <w:pPr>
        <w:ind w:firstLine="420"/>
      </w:pPr>
      <w:r>
        <w:t>图中五个角分别代表了区域不平衡、技术鸿沟、经济发展距离、社会服务差距和生活质量差距，显示了这些因素之间的相互影响。发达地区能够</w:t>
      </w:r>
      <w:proofErr w:type="gramStart"/>
      <w:r>
        <w:t>利用数智化</w:t>
      </w:r>
      <w:proofErr w:type="gramEnd"/>
      <w:r>
        <w:t>技术提升经济增长和公共服务质量，而欠发达地区则因技术和资源匮乏，未能充分受益于现代化服务，进一步拉大了区域间的发展差距，导致区域不平衡加剧。</w:t>
      </w:r>
    </w:p>
    <w:p w14:paraId="0CCFCC9D" w14:textId="77777777" w:rsidR="00111E86" w:rsidRDefault="00000000">
      <w:pPr>
        <w:pStyle w:val="2"/>
      </w:pPr>
      <w:r>
        <w:rPr>
          <w:rFonts w:hint="eastAsia"/>
        </w:rPr>
        <w:t>（二）</w:t>
      </w:r>
      <w:r>
        <w:t>资源集中与资本积累的区域性不平衡</w:t>
      </w:r>
    </w:p>
    <w:p w14:paraId="1AE963B3" w14:textId="77777777" w:rsidR="00111E86" w:rsidRDefault="00000000">
      <w:pPr>
        <w:pStyle w:val="3"/>
        <w:rPr>
          <w:rFonts w:hint="default"/>
        </w:rPr>
      </w:pPr>
      <w:r>
        <w:t>1</w:t>
      </w:r>
      <w:r>
        <w:t>、</w:t>
      </w:r>
      <w:r>
        <w:t xml:space="preserve"> </w:t>
      </w:r>
      <w:proofErr w:type="gramStart"/>
      <w:r>
        <w:t>数智化</w:t>
      </w:r>
      <w:proofErr w:type="gramEnd"/>
      <w:r>
        <w:t>背景下的资本流动</w:t>
      </w:r>
    </w:p>
    <w:p w14:paraId="06A29A81" w14:textId="77777777" w:rsidR="00111E86" w:rsidRDefault="00000000">
      <w:pPr>
        <w:ind w:firstLine="420"/>
      </w:pPr>
      <w:r>
        <w:t>在数智化转型的推动下，资本和资源向经济发达地区的集中趋势愈加明显。发达地区</w:t>
      </w:r>
      <w:proofErr w:type="gramStart"/>
      <w:r>
        <w:t>通过数智化</w:t>
      </w:r>
      <w:proofErr w:type="gramEnd"/>
      <w:r>
        <w:t>手段吸引了大量资本投资，尤其是在新兴产业和高科技领域，这些地区不仅在传统产业上继续占据优势，还在新兴产业中率先发展，形成了资本和资源的双重积累效应。深圳等城市不仅依靠本地企业的发展吸引了大量投资，还通过优惠政策和良好的创新环境吸引了全球的科技企业和风险投资进入。这种资本集中现象在推动当地经济发展的同时，也进一步巩固了发达地区在全国经济中的主导地位。</w:t>
      </w:r>
    </w:p>
    <w:p w14:paraId="270DFD7D" w14:textId="77777777" w:rsidR="00111E86" w:rsidRDefault="00000000">
      <w:pPr>
        <w:pStyle w:val="3"/>
        <w:rPr>
          <w:rFonts w:hint="default"/>
        </w:rPr>
      </w:pPr>
      <w:r>
        <w:lastRenderedPageBreak/>
        <w:t>2</w:t>
      </w:r>
      <w:r>
        <w:t>、</w:t>
      </w:r>
      <w:r>
        <w:t xml:space="preserve"> </w:t>
      </w:r>
      <w:r>
        <w:t>资本积累的机制</w:t>
      </w:r>
    </w:p>
    <w:p w14:paraId="5EC267D8" w14:textId="77777777" w:rsidR="00111E86" w:rsidRDefault="00000000">
      <w:pPr>
        <w:ind w:firstLine="420"/>
      </w:pPr>
      <w:r>
        <w:t>资本集中在发达地区的机制主要体现在：</w:t>
      </w:r>
    </w:p>
    <w:p w14:paraId="6316B597" w14:textId="77777777" w:rsidR="00111E86" w:rsidRDefault="00000000">
      <w:pPr>
        <w:ind w:firstLine="420"/>
      </w:pPr>
      <w:r>
        <w:rPr>
          <w:rFonts w:hint="eastAsia"/>
        </w:rPr>
        <w:t>（</w:t>
      </w:r>
      <w:r>
        <w:rPr>
          <w:rFonts w:hint="eastAsia"/>
        </w:rPr>
        <w:t>1</w:t>
      </w:r>
      <w:r>
        <w:rPr>
          <w:rFonts w:hint="eastAsia"/>
        </w:rPr>
        <w:t>）</w:t>
      </w:r>
      <w:r>
        <w:t>技术优势：发达地区的技术领先优势吸引了大量的创新型企业和初创公司，这些企业通过资本市场获得融资，推动技术研发和市场扩展，进一步增强了区域经济的竞争力。</w:t>
      </w:r>
    </w:p>
    <w:p w14:paraId="79413FD0" w14:textId="77777777" w:rsidR="00111E86" w:rsidRDefault="00000000">
      <w:pPr>
        <w:ind w:firstLine="420"/>
      </w:pPr>
      <w:r>
        <w:rPr>
          <w:rFonts w:hint="eastAsia"/>
        </w:rPr>
        <w:t>（</w:t>
      </w:r>
      <w:r>
        <w:rPr>
          <w:rFonts w:hint="eastAsia"/>
        </w:rPr>
        <w:t>2</w:t>
      </w:r>
      <w:r>
        <w:rPr>
          <w:rFonts w:hint="eastAsia"/>
        </w:rPr>
        <w:t>）</w:t>
      </w:r>
      <w:r>
        <w:t>市场规模效应：发达地区拥有较大的市场需求和完善的市场体系，使得资本能够更快地实现增值。这些地区的消费者对新技术的接受度高，企业更容易</w:t>
      </w:r>
      <w:proofErr w:type="gramStart"/>
      <w:r>
        <w:t>通过数智化</w:t>
      </w:r>
      <w:proofErr w:type="gramEnd"/>
      <w:r>
        <w:t>手段扩大市场占有率。</w:t>
      </w:r>
    </w:p>
    <w:p w14:paraId="573A0639" w14:textId="77777777" w:rsidR="00111E86" w:rsidRDefault="00000000">
      <w:pPr>
        <w:ind w:firstLine="420"/>
      </w:pPr>
      <w:r>
        <w:rPr>
          <w:rFonts w:hint="eastAsia"/>
        </w:rPr>
        <w:t>（</w:t>
      </w:r>
      <w:r>
        <w:rPr>
          <w:rFonts w:hint="eastAsia"/>
        </w:rPr>
        <w:t>3</w:t>
      </w:r>
      <w:r>
        <w:rPr>
          <w:rFonts w:hint="eastAsia"/>
        </w:rPr>
        <w:t>）</w:t>
      </w:r>
      <w:r>
        <w:t>政策支持：发达地区的政府通过一系列政策措施，如税收减免、产业扶持基金等，吸引国内外资本进入高科技和新兴产业。这些政策的实施为资本的进一步集中提供了有利条件。</w:t>
      </w:r>
    </w:p>
    <w:p w14:paraId="680D95B1" w14:textId="77777777" w:rsidR="00111E86" w:rsidRDefault="00000000">
      <w:pPr>
        <w:spacing w:line="240" w:lineRule="auto"/>
        <w:ind w:left="420" w:firstLineChars="0" w:firstLine="0"/>
        <w:jc w:val="center"/>
      </w:pPr>
      <w:r>
        <w:rPr>
          <w:noProof/>
        </w:rPr>
        <w:drawing>
          <wp:inline distT="0" distB="0" distL="114300" distR="114300" wp14:anchorId="36CBB859" wp14:editId="406BF524">
            <wp:extent cx="3417570" cy="2656840"/>
            <wp:effectExtent l="9525" t="9525" r="11430" b="10160"/>
            <wp:docPr id="6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2"/>
                    <pic:cNvPicPr>
                      <a:picLocks noChangeAspect="1"/>
                    </pic:cNvPicPr>
                  </pic:nvPicPr>
                  <pic:blipFill>
                    <a:blip r:embed="rId17"/>
                    <a:stretch>
                      <a:fillRect/>
                    </a:stretch>
                  </pic:blipFill>
                  <pic:spPr>
                    <a:xfrm>
                      <a:off x="0" y="0"/>
                      <a:ext cx="3417570" cy="2656840"/>
                    </a:xfrm>
                    <a:prstGeom prst="rect">
                      <a:avLst/>
                    </a:prstGeom>
                    <a:noFill/>
                    <a:ln w="3175">
                      <a:solidFill>
                        <a:schemeClr val="tx1"/>
                      </a:solidFill>
                    </a:ln>
                  </pic:spPr>
                </pic:pic>
              </a:graphicData>
            </a:graphic>
          </wp:inline>
        </w:drawing>
      </w:r>
    </w:p>
    <w:p w14:paraId="6C349119" w14:textId="77777777" w:rsidR="00111E86" w:rsidRDefault="00000000">
      <w:pPr>
        <w:pStyle w:val="a3"/>
        <w:spacing w:line="240" w:lineRule="auto"/>
        <w:ind w:left="420" w:firstLineChars="0" w:firstLine="0"/>
        <w:jc w:val="center"/>
      </w:pPr>
      <w:r>
        <w:t>图</w:t>
      </w:r>
      <w:r>
        <w:t xml:space="preserve"> </w:t>
      </w:r>
      <w:r>
        <w:fldChar w:fldCharType="begin"/>
      </w:r>
      <w:r>
        <w:instrText xml:space="preserve"> SEQ </w:instrText>
      </w:r>
      <w:r>
        <w:instrText>图</w:instrText>
      </w:r>
      <w:r>
        <w:instrText xml:space="preserve"> \* ARABIC </w:instrText>
      </w:r>
      <w:r>
        <w:fldChar w:fldCharType="separate"/>
      </w:r>
      <w:r>
        <w:t>11</w:t>
      </w:r>
      <w:r>
        <w:fldChar w:fldCharType="end"/>
      </w:r>
      <w:r>
        <w:rPr>
          <w:rFonts w:hint="eastAsia"/>
        </w:rPr>
        <w:t xml:space="preserve"> </w:t>
      </w:r>
      <w:r>
        <w:t>发达地区资本积累机制创新示意图</w:t>
      </w:r>
    </w:p>
    <w:p w14:paraId="37AF5834" w14:textId="77777777" w:rsidR="00111E86" w:rsidRDefault="00000000">
      <w:pPr>
        <w:ind w:firstLine="420"/>
      </w:pPr>
      <w:r>
        <w:t>每个阶段的涟漪展示了该阶段对整个系统的广泛影响，而不仅仅是直接的下一阶段。颜色从浅到深，展示了随着流程推进，资本集中效应的逐步强化。黑色箭头显示每个阶段的主导流程，指向下一个阶段。</w:t>
      </w:r>
    </w:p>
    <w:p w14:paraId="5CD7A0ED" w14:textId="77777777" w:rsidR="00111E86" w:rsidRDefault="00000000">
      <w:pPr>
        <w:pStyle w:val="3"/>
        <w:rPr>
          <w:rFonts w:hint="default"/>
        </w:rPr>
      </w:pPr>
      <w:r>
        <w:t>3</w:t>
      </w:r>
      <w:r>
        <w:t>、</w:t>
      </w:r>
      <w:r>
        <w:t xml:space="preserve"> </w:t>
      </w:r>
      <w:r>
        <w:t>欠发达地区的困境</w:t>
      </w:r>
    </w:p>
    <w:p w14:paraId="57457C5D" w14:textId="77777777" w:rsidR="00111E86" w:rsidRDefault="00000000">
      <w:pPr>
        <w:ind w:firstLine="420"/>
      </w:pPr>
      <w:r>
        <w:t>与此形成鲜明对比的是，欠发达地区在数智化转型过程中面临着资本和资源的严重匮乏。这些地区由于技术基础薄弱、市场规模有限，难以吸引高科技产业和资本进入。一方面，欠发达地区的基础设施建设落后，制约了资本的流入；另一方面，这些地区的人才流失严重，</w:t>
      </w:r>
      <w:r>
        <w:lastRenderedPageBreak/>
        <w:t>技术创新能力不足，使得资本投资的风险较高，回报率较低。这种资源和资本的流失，使得欠发达地区在数智化转型中被边缘化，难以</w:t>
      </w:r>
      <w:proofErr w:type="gramStart"/>
      <w:r>
        <w:t>分享数智化</w:t>
      </w:r>
      <w:proofErr w:type="gramEnd"/>
      <w:r>
        <w:t>带来的经济红利。</w:t>
      </w:r>
    </w:p>
    <w:p w14:paraId="1FC0D494" w14:textId="77777777" w:rsidR="00111E86" w:rsidRDefault="00000000">
      <w:pPr>
        <w:spacing w:line="240" w:lineRule="auto"/>
        <w:ind w:firstLine="420"/>
        <w:jc w:val="center"/>
      </w:pPr>
      <w:r>
        <w:rPr>
          <w:noProof/>
        </w:rPr>
        <w:drawing>
          <wp:inline distT="0" distB="0" distL="114300" distR="114300" wp14:anchorId="08A83282" wp14:editId="37A66331">
            <wp:extent cx="4165600" cy="2691130"/>
            <wp:effectExtent l="9525" t="9525" r="15875" b="1397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8"/>
                    <a:stretch>
                      <a:fillRect/>
                    </a:stretch>
                  </pic:blipFill>
                  <pic:spPr>
                    <a:xfrm>
                      <a:off x="0" y="0"/>
                      <a:ext cx="4165600" cy="2691130"/>
                    </a:xfrm>
                    <a:prstGeom prst="rect">
                      <a:avLst/>
                    </a:prstGeom>
                    <a:noFill/>
                    <a:ln w="3175">
                      <a:solidFill>
                        <a:schemeClr val="tx1"/>
                      </a:solidFill>
                    </a:ln>
                  </pic:spPr>
                </pic:pic>
              </a:graphicData>
            </a:graphic>
          </wp:inline>
        </w:drawing>
      </w:r>
    </w:p>
    <w:p w14:paraId="43A7EE9C"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12</w:t>
      </w:r>
      <w:r>
        <w:fldChar w:fldCharType="end"/>
      </w:r>
      <w:r>
        <w:rPr>
          <w:rFonts w:hint="eastAsia"/>
        </w:rPr>
        <w:t xml:space="preserve"> </w:t>
      </w:r>
      <w:r>
        <w:t>欠发达地区资本流失与资源稀缺的循环机制</w:t>
      </w:r>
    </w:p>
    <w:p w14:paraId="1C799D08" w14:textId="77777777" w:rsidR="00111E86" w:rsidRDefault="00000000">
      <w:pPr>
        <w:pStyle w:val="2"/>
      </w:pPr>
      <w:r>
        <w:rPr>
          <w:rFonts w:hint="eastAsia"/>
        </w:rPr>
        <w:t>（三）</w:t>
      </w:r>
      <w:r>
        <w:t>区域间社会服务水平的差异</w:t>
      </w:r>
    </w:p>
    <w:p w14:paraId="008A04E4" w14:textId="77777777" w:rsidR="00111E86" w:rsidRDefault="00000000">
      <w:pPr>
        <w:ind w:firstLine="420"/>
      </w:pPr>
      <w:proofErr w:type="gramStart"/>
      <w:r>
        <w:t>数智化</w:t>
      </w:r>
      <w:proofErr w:type="gramEnd"/>
      <w:r>
        <w:t>转型不仅影响了经济发展，还深刻影响了社会服务的提供与质量。发达地区在数智化转型中，利用数字技术提升了公共服务的效率和质量。例如，智慧医疗系统的应用使得居民能够通过互联网进行远程问诊和健康管理，在线教育平台为学生提供了更多优质教育资源，智能交通系统提升了出行的便利性和安全性</w:t>
      </w:r>
      <w:r>
        <w:rPr>
          <w:rFonts w:hint="eastAsia"/>
        </w:rPr>
        <w:t>，进而显著提升</w:t>
      </w:r>
      <w:r>
        <w:t>了居民的生活质量。</w:t>
      </w:r>
    </w:p>
    <w:p w14:paraId="49EA4F28" w14:textId="77777777" w:rsidR="00111E86" w:rsidRDefault="00000000">
      <w:pPr>
        <w:ind w:firstLine="420"/>
      </w:pPr>
      <w:r>
        <w:t>欠发达地区</w:t>
      </w:r>
      <w:proofErr w:type="gramStart"/>
      <w:r>
        <w:t>由于数智化</w:t>
      </w:r>
      <w:proofErr w:type="gramEnd"/>
      <w:r>
        <w:t>基础设施的滞后，社会服务的数字化进程相对缓慢，导致这些地区的居民难以享受</w:t>
      </w:r>
      <w:proofErr w:type="gramStart"/>
      <w:r>
        <w:t>到数智化</w:t>
      </w:r>
      <w:proofErr w:type="gramEnd"/>
      <w:r>
        <w:t>带来的公共服务红利。例如，农村和偏远地区的医疗资源本已相对匮乏，</w:t>
      </w:r>
      <w:proofErr w:type="gramStart"/>
      <w:r>
        <w:t>数智化医疗</w:t>
      </w:r>
      <w:proofErr w:type="gramEnd"/>
      <w:r>
        <w:t>服务的缺乏进一步加剧了居民在获得医疗服务上的困难。类似地，这些地区的教育资源有限，在线教育平台的推广也因网络条件和设备的限制而难以普及。交通方面，智能交通系统的缺失使得出行效率和安全性远不及发达地区。</w:t>
      </w:r>
      <w:r>
        <w:rPr>
          <w:rStyle w:val="a9"/>
        </w:rPr>
        <w:t>[</w:t>
      </w:r>
      <w:r>
        <w:rPr>
          <w:rStyle w:val="a9"/>
        </w:rPr>
        <w:endnoteReference w:id="6"/>
      </w:r>
      <w:r>
        <w:rPr>
          <w:rStyle w:val="a9"/>
        </w:rPr>
        <w:t>]</w:t>
      </w:r>
    </w:p>
    <w:p w14:paraId="3CEB9171" w14:textId="77777777" w:rsidR="00111E86" w:rsidRDefault="00000000">
      <w:pPr>
        <w:spacing w:line="240" w:lineRule="auto"/>
        <w:ind w:firstLine="420"/>
        <w:jc w:val="center"/>
      </w:pPr>
      <w:r>
        <w:rPr>
          <w:noProof/>
        </w:rPr>
        <w:lastRenderedPageBreak/>
        <w:drawing>
          <wp:inline distT="0" distB="0" distL="114300" distR="114300" wp14:anchorId="053830F6" wp14:editId="57BAFEE5">
            <wp:extent cx="3342640" cy="2154555"/>
            <wp:effectExtent l="9525" t="9525" r="10160" b="17145"/>
            <wp:docPr id="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
                    <pic:cNvPicPr>
                      <a:picLocks noChangeAspect="1"/>
                    </pic:cNvPicPr>
                  </pic:nvPicPr>
                  <pic:blipFill>
                    <a:blip r:embed="rId19"/>
                    <a:stretch>
                      <a:fillRect/>
                    </a:stretch>
                  </pic:blipFill>
                  <pic:spPr>
                    <a:xfrm>
                      <a:off x="0" y="0"/>
                      <a:ext cx="3342640" cy="2154555"/>
                    </a:xfrm>
                    <a:prstGeom prst="rect">
                      <a:avLst/>
                    </a:prstGeom>
                    <a:noFill/>
                    <a:ln w="3175">
                      <a:solidFill>
                        <a:schemeClr val="tx1"/>
                      </a:solidFill>
                    </a:ln>
                  </pic:spPr>
                </pic:pic>
              </a:graphicData>
            </a:graphic>
          </wp:inline>
        </w:drawing>
      </w:r>
    </w:p>
    <w:p w14:paraId="34376E2C"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13</w:t>
      </w:r>
      <w:r>
        <w:fldChar w:fldCharType="end"/>
      </w:r>
      <w:r>
        <w:rPr>
          <w:rFonts w:hint="eastAsia"/>
        </w:rPr>
        <w:t xml:space="preserve"> </w:t>
      </w:r>
      <w:r>
        <w:t>区域间社会服务水平差异对比图</w:t>
      </w:r>
    </w:p>
    <w:p w14:paraId="4D8A6AD2" w14:textId="77777777" w:rsidR="00111E86" w:rsidRDefault="00000000">
      <w:pPr>
        <w:ind w:firstLine="420"/>
      </w:pPr>
      <w:r>
        <w:t>这种区域间社会服务水平的差异，进一步加剧了区域间的生活质量和发展机会的不平衡，使得欠发达地区的居民在享受现代化服务和数智化红利方面处于劣势。这种社会服务的差异不仅影响到居民的生活满意度，也对区域间的人口流动和社会稳定产生了深远影响。</w:t>
      </w:r>
    </w:p>
    <w:p w14:paraId="5230D626" w14:textId="77777777" w:rsidR="00111E86" w:rsidRDefault="00000000">
      <w:pPr>
        <w:pStyle w:val="2"/>
      </w:pPr>
      <w:r>
        <w:rPr>
          <w:rFonts w:hint="eastAsia"/>
        </w:rPr>
        <w:t>（四）</w:t>
      </w:r>
      <w:r>
        <w:t>国际视角下</w:t>
      </w:r>
      <w:proofErr w:type="gramStart"/>
      <w:r>
        <w:t>的数智化</w:t>
      </w:r>
      <w:proofErr w:type="gramEnd"/>
      <w:r>
        <w:t>转型与区域差异</w:t>
      </w:r>
    </w:p>
    <w:p w14:paraId="3694642B" w14:textId="77777777" w:rsidR="00111E86" w:rsidRDefault="00000000">
      <w:pPr>
        <w:ind w:firstLine="420"/>
      </w:pPr>
      <w:r>
        <w:t>在全球范围内，</w:t>
      </w:r>
      <w:proofErr w:type="gramStart"/>
      <w:r>
        <w:t>数智化</w:t>
      </w:r>
      <w:proofErr w:type="gramEnd"/>
      <w:r>
        <w:t>转型引发了显著的区域差异问题。以美国和欧盟为例，这些国家和地区在数智化转型中的区域治理策略各具特色。</w:t>
      </w:r>
    </w:p>
    <w:p w14:paraId="75D3A2D4" w14:textId="77777777" w:rsidR="00111E86" w:rsidRDefault="00000000">
      <w:pPr>
        <w:ind w:firstLine="420"/>
      </w:pPr>
      <w:r>
        <w:t>美国在数智化转型中主要依赖市场力量，但针对区域差异，联邦政府也通过政策干预，如</w:t>
      </w:r>
      <w:r>
        <w:t>“</w:t>
      </w:r>
      <w:r>
        <w:t>宽带推广计划</w:t>
      </w:r>
      <w:r>
        <w:t>”</w:t>
      </w:r>
      <w:r>
        <w:t>等，帮助落后地区</w:t>
      </w:r>
      <w:proofErr w:type="gramStart"/>
      <w:r>
        <w:t>提升数智化</w:t>
      </w:r>
      <w:proofErr w:type="gramEnd"/>
      <w:r>
        <w:t>基础设施。然而，美国的区域差异治理仍然依赖市场的主导作用，这导致了部分落后地区在公共服务和技术普及方面仍然面临较大挑战。欧盟则通过</w:t>
      </w:r>
      <w:r>
        <w:rPr>
          <w:rFonts w:hint="eastAsia"/>
        </w:rPr>
        <w:t>“</w:t>
      </w:r>
      <w:r>
        <w:t>区域发展基金</w:t>
      </w:r>
      <w:r>
        <w:rPr>
          <w:rFonts w:hint="eastAsia"/>
        </w:rPr>
        <w:t>”</w:t>
      </w:r>
      <w:r>
        <w:t>等机制，积极推动各成员国和地区</w:t>
      </w:r>
      <w:proofErr w:type="gramStart"/>
      <w:r>
        <w:t>的数智化</w:t>
      </w:r>
      <w:proofErr w:type="gramEnd"/>
      <w:r>
        <w:t>发展。欧盟注重政策的协调性和一体化发展，通过跨国合作和技术转移，帮助落后地区缩小与发达地区的差距。</w:t>
      </w:r>
    </w:p>
    <w:p w14:paraId="531A9DB8" w14:textId="77777777" w:rsidR="00111E86" w:rsidRDefault="00000000">
      <w:pPr>
        <w:ind w:firstLine="420"/>
      </w:pPr>
      <w:r>
        <w:t>与美国和欧盟相比，中国在数智化转型中更加强调政府主导。通过财政转移支付和专项资金支持，中国政府积极缩小中西部欠发达地区与东部发达地区之间的差距，推动区域均衡发展。通过对比可以看出，不同国家和地区根据自身的经济体制和发展需求，在数智化转型中的区域差异治理策略有所不同。这些国际经验为中国的实践提供了重要的参考和借鉴。</w:t>
      </w:r>
    </w:p>
    <w:p w14:paraId="3F217BAD" w14:textId="77777777" w:rsidR="00111E86" w:rsidRDefault="00111E86">
      <w:pPr>
        <w:ind w:firstLine="420"/>
      </w:pPr>
    </w:p>
    <w:p w14:paraId="029281E7" w14:textId="77777777" w:rsidR="00111E86" w:rsidRDefault="00111E86">
      <w:pPr>
        <w:ind w:firstLine="420"/>
      </w:pPr>
    </w:p>
    <w:p w14:paraId="498E3D87" w14:textId="77777777" w:rsidR="00111E86" w:rsidRDefault="00111E86">
      <w:pPr>
        <w:ind w:firstLine="420"/>
      </w:pPr>
    </w:p>
    <w:p w14:paraId="70DB503D" w14:textId="77777777" w:rsidR="00111E86" w:rsidRDefault="00111E86">
      <w:pPr>
        <w:ind w:firstLine="420"/>
      </w:pPr>
    </w:p>
    <w:p w14:paraId="28A23018" w14:textId="77777777" w:rsidR="00111E86" w:rsidRDefault="00111E86">
      <w:pPr>
        <w:ind w:firstLine="420"/>
      </w:pPr>
    </w:p>
    <w:p w14:paraId="711BCCFA" w14:textId="77777777" w:rsidR="00111E86" w:rsidRDefault="00111E86">
      <w:pPr>
        <w:ind w:firstLine="420"/>
      </w:pPr>
    </w:p>
    <w:p w14:paraId="52937EDE" w14:textId="77777777" w:rsidR="00111E86" w:rsidRDefault="00111E86">
      <w:pPr>
        <w:ind w:firstLine="420"/>
      </w:pPr>
    </w:p>
    <w:p w14:paraId="7F76E1C9" w14:textId="77777777" w:rsidR="00111E86" w:rsidRDefault="00111E86">
      <w:pPr>
        <w:ind w:firstLine="420"/>
      </w:pPr>
    </w:p>
    <w:p w14:paraId="0EC0E5BE" w14:textId="77777777" w:rsidR="00111E86" w:rsidRDefault="00111E86">
      <w:pPr>
        <w:ind w:firstLine="420"/>
      </w:pPr>
    </w:p>
    <w:p w14:paraId="193A581B" w14:textId="77777777" w:rsidR="00111E86" w:rsidRDefault="00111E86">
      <w:pPr>
        <w:ind w:firstLine="420"/>
      </w:pPr>
    </w:p>
    <w:p w14:paraId="6E52D27B" w14:textId="77777777" w:rsidR="00111E86" w:rsidRDefault="00111E86">
      <w:pPr>
        <w:ind w:firstLine="420"/>
      </w:pPr>
    </w:p>
    <w:p w14:paraId="7A61AE3E" w14:textId="77777777" w:rsidR="00111E86" w:rsidRDefault="00111E86">
      <w:pPr>
        <w:ind w:firstLine="420"/>
      </w:pPr>
    </w:p>
    <w:p w14:paraId="10668094" w14:textId="77777777" w:rsidR="00111E86" w:rsidRDefault="00111E86">
      <w:pPr>
        <w:ind w:firstLine="420"/>
      </w:pPr>
    </w:p>
    <w:p w14:paraId="475F7193" w14:textId="77777777" w:rsidR="00111E86" w:rsidRDefault="00111E86">
      <w:pPr>
        <w:ind w:firstLineChars="0" w:firstLine="0"/>
      </w:pPr>
    </w:p>
    <w:p w14:paraId="3394FD01" w14:textId="77777777" w:rsidR="00111E86" w:rsidRDefault="00000000">
      <w:pPr>
        <w:pStyle w:val="1"/>
      </w:pPr>
      <w:r>
        <w:rPr>
          <w:rFonts w:hint="eastAsia"/>
        </w:rPr>
        <w:t>五、</w:t>
      </w:r>
      <w:r>
        <w:t>推动共同富裕的政策路径及其实践探讨</w:t>
      </w:r>
    </w:p>
    <w:p w14:paraId="75BAD8B7" w14:textId="77777777" w:rsidR="00111E86" w:rsidRDefault="00000000">
      <w:pPr>
        <w:pStyle w:val="2"/>
      </w:pPr>
      <w:r>
        <w:rPr>
          <w:rFonts w:hint="eastAsia"/>
        </w:rPr>
        <w:t>（一）</w:t>
      </w:r>
      <w:r>
        <w:t>推进区域协调发展</w:t>
      </w:r>
      <w:proofErr w:type="gramStart"/>
      <w:r>
        <w:t>的数智化</w:t>
      </w:r>
      <w:proofErr w:type="gramEnd"/>
      <w:r>
        <w:t>政策</w:t>
      </w:r>
    </w:p>
    <w:p w14:paraId="1C18DE04" w14:textId="77777777" w:rsidR="00111E86" w:rsidRDefault="00000000">
      <w:pPr>
        <w:ind w:firstLine="420"/>
      </w:pPr>
      <w:r>
        <w:t>为实现共同富裕，</w:t>
      </w:r>
      <w:r>
        <w:rPr>
          <w:rFonts w:hint="eastAsia"/>
        </w:rPr>
        <w:t>务必</w:t>
      </w:r>
      <w:r>
        <w:t>制定以区域协调发展为核心</w:t>
      </w:r>
      <w:proofErr w:type="gramStart"/>
      <w:r>
        <w:t>的数智化</w:t>
      </w:r>
      <w:proofErr w:type="gramEnd"/>
      <w:r>
        <w:t>政策。这一政策应着眼于缩小不同地区之间的技术鸿沟，</w:t>
      </w:r>
      <w:proofErr w:type="gramStart"/>
      <w:r>
        <w:t>确保数智化</w:t>
      </w:r>
      <w:proofErr w:type="gramEnd"/>
      <w:r>
        <w:t>红利在全国范围内得到广泛共享。具体而言，政府可以通过以下几方面的政策措施来推进区域协调发展：</w:t>
      </w:r>
    </w:p>
    <w:p w14:paraId="010A0AE9" w14:textId="77777777" w:rsidR="00111E86" w:rsidRDefault="00000000">
      <w:pPr>
        <w:spacing w:line="240" w:lineRule="auto"/>
        <w:ind w:firstLine="420"/>
        <w:jc w:val="center"/>
      </w:pPr>
      <w:r>
        <w:rPr>
          <w:noProof/>
        </w:rPr>
        <w:drawing>
          <wp:inline distT="0" distB="0" distL="114300" distR="114300" wp14:anchorId="3BD17381" wp14:editId="6D48ED4F">
            <wp:extent cx="5199380" cy="2143125"/>
            <wp:effectExtent l="9525" t="9525" r="1079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0"/>
                    <a:stretch>
                      <a:fillRect/>
                    </a:stretch>
                  </pic:blipFill>
                  <pic:spPr>
                    <a:xfrm>
                      <a:off x="0" y="0"/>
                      <a:ext cx="5199380" cy="2143125"/>
                    </a:xfrm>
                    <a:prstGeom prst="rect">
                      <a:avLst/>
                    </a:prstGeom>
                    <a:noFill/>
                    <a:ln w="3175">
                      <a:solidFill>
                        <a:schemeClr val="tx1"/>
                      </a:solidFill>
                    </a:ln>
                  </pic:spPr>
                </pic:pic>
              </a:graphicData>
            </a:graphic>
          </wp:inline>
        </w:drawing>
      </w:r>
    </w:p>
    <w:p w14:paraId="79513CBF"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14</w:t>
      </w:r>
      <w:r>
        <w:fldChar w:fldCharType="end"/>
      </w:r>
      <w:r>
        <w:rPr>
          <w:rFonts w:hint="eastAsia"/>
        </w:rPr>
        <w:t xml:space="preserve"> </w:t>
      </w:r>
      <w:r>
        <w:t>区域差异与经济基础评估及政策实施示意图</w:t>
      </w:r>
    </w:p>
    <w:p w14:paraId="3C945CC1" w14:textId="77777777" w:rsidR="00111E86" w:rsidRDefault="00000000">
      <w:pPr>
        <w:pStyle w:val="3"/>
        <w:rPr>
          <w:rFonts w:hint="default"/>
        </w:rPr>
      </w:pPr>
      <w:r>
        <w:t>1</w:t>
      </w:r>
      <w:r>
        <w:t>、财政转移支付</w:t>
      </w:r>
    </w:p>
    <w:p w14:paraId="22B736C0" w14:textId="77777777" w:rsidR="00111E86" w:rsidRDefault="00000000">
      <w:pPr>
        <w:ind w:firstLine="420"/>
      </w:pPr>
      <w:r>
        <w:lastRenderedPageBreak/>
        <w:t>中央政府应通过财政转移支付机制，将更多的资源和资金向中西部欠发达地区倾斜。这些资金可以用于支持这些地区</w:t>
      </w:r>
      <w:proofErr w:type="gramStart"/>
      <w:r>
        <w:t>的数智化</w:t>
      </w:r>
      <w:proofErr w:type="gramEnd"/>
      <w:r>
        <w:t>基础设施建设，如光纤网络的铺设、</w:t>
      </w:r>
      <w:r>
        <w:t>5G</w:t>
      </w:r>
      <w:r>
        <w:t>基站的建设、数据中心的设立等，以提升这些地区的数字连接水平和通信质量，确保它们能够参与和</w:t>
      </w:r>
      <w:proofErr w:type="gramStart"/>
      <w:r>
        <w:t>享受数智化</w:t>
      </w:r>
      <w:proofErr w:type="gramEnd"/>
      <w:r>
        <w:t>经济带来的机遇。</w:t>
      </w:r>
    </w:p>
    <w:p w14:paraId="69BC2709" w14:textId="77777777" w:rsidR="00111E86" w:rsidRDefault="00000000">
      <w:pPr>
        <w:pStyle w:val="3"/>
        <w:rPr>
          <w:rFonts w:hint="default"/>
        </w:rPr>
      </w:pPr>
      <w:r>
        <w:t>2</w:t>
      </w:r>
      <w:r>
        <w:t>、专项扶持政策</w:t>
      </w:r>
    </w:p>
    <w:p w14:paraId="72326274" w14:textId="77777777" w:rsidR="00111E86" w:rsidRDefault="00000000">
      <w:pPr>
        <w:ind w:firstLine="420"/>
      </w:pPr>
      <w:r>
        <w:t>制定专门针对欠发达地区</w:t>
      </w:r>
      <w:proofErr w:type="gramStart"/>
      <w:r>
        <w:t>的数智化</w:t>
      </w:r>
      <w:proofErr w:type="gramEnd"/>
      <w:r>
        <w:t>发展扶持政策，例如，提供低息贷款和税收减免等优惠措施，以吸引企业投资中西部地区的数字化项目。同时，政府可以设立专项基金，用于支持这些地区的</w:t>
      </w:r>
      <w:proofErr w:type="gramStart"/>
      <w:r>
        <w:t>创新型数智化</w:t>
      </w:r>
      <w:proofErr w:type="gramEnd"/>
      <w:r>
        <w:t>企业，帮助它们在市场竞争中成长壮大，进而带动整个区域的经济发展。</w:t>
      </w:r>
    </w:p>
    <w:p w14:paraId="11F7E259" w14:textId="77777777" w:rsidR="00111E86" w:rsidRDefault="00000000">
      <w:pPr>
        <w:pStyle w:val="3"/>
        <w:rPr>
          <w:rFonts w:hint="default"/>
        </w:rPr>
      </w:pPr>
      <w:r>
        <w:t>3</w:t>
      </w:r>
      <w:r>
        <w:t>、农村数字基础设施投资</w:t>
      </w:r>
    </w:p>
    <w:p w14:paraId="6DB31A84" w14:textId="77777777" w:rsidR="00111E86" w:rsidRDefault="00000000">
      <w:pPr>
        <w:ind w:firstLine="420"/>
      </w:pPr>
      <w:r>
        <w:t>特别是针对农村和偏远地区，政府应加大对数字基础设施的投资力度。这不仅包括基础通信网络的建设，还应包括智能农业系统、农村电子商务平台等，帮助农村地区</w:t>
      </w:r>
      <w:proofErr w:type="gramStart"/>
      <w:r>
        <w:t>通过数智化</w:t>
      </w:r>
      <w:proofErr w:type="gramEnd"/>
      <w:r>
        <w:t>手段提升生产效率和市场竞争力，缩小城乡差距。</w:t>
      </w:r>
      <w:r>
        <w:rPr>
          <w:rStyle w:val="a9"/>
        </w:rPr>
        <w:t>[</w:t>
      </w:r>
      <w:r>
        <w:rPr>
          <w:rStyle w:val="a9"/>
        </w:rPr>
        <w:endnoteReference w:id="7"/>
      </w:r>
      <w:r>
        <w:rPr>
          <w:rStyle w:val="a9"/>
        </w:rPr>
        <w:t>]</w:t>
      </w:r>
    </w:p>
    <w:p w14:paraId="0B0D1DE9" w14:textId="77777777" w:rsidR="00111E86" w:rsidRDefault="00000000">
      <w:pPr>
        <w:pStyle w:val="2"/>
      </w:pPr>
      <w:r>
        <w:rPr>
          <w:rFonts w:hint="eastAsia"/>
        </w:rPr>
        <w:t>（二）</w:t>
      </w:r>
      <w:r>
        <w:rPr>
          <w:rFonts w:hint="eastAsia"/>
        </w:rPr>
        <w:t xml:space="preserve"> </w:t>
      </w:r>
      <w:r>
        <w:t>加强教育和技能培训的区域性平衡</w:t>
      </w:r>
    </w:p>
    <w:p w14:paraId="1141331D" w14:textId="77777777" w:rsidR="00111E86" w:rsidRDefault="00000000">
      <w:pPr>
        <w:ind w:firstLine="420"/>
      </w:pPr>
      <w:r>
        <w:t>提高劳动者的数字化与智能化能力依赖于教育和技能培训，这同时也是推动区域协调发展的重要因素。确保教育资源的公平分配和技能培训的区域均衡，政府可以实施以下策略：</w:t>
      </w:r>
    </w:p>
    <w:p w14:paraId="0D528D3F" w14:textId="77777777" w:rsidR="00111E86" w:rsidRDefault="00000000">
      <w:pPr>
        <w:spacing w:line="240" w:lineRule="auto"/>
        <w:ind w:firstLine="420"/>
        <w:jc w:val="center"/>
      </w:pPr>
      <w:r>
        <w:rPr>
          <w:noProof/>
        </w:rPr>
        <w:drawing>
          <wp:inline distT="0" distB="0" distL="114300" distR="114300" wp14:anchorId="21C4DA8D" wp14:editId="1801079A">
            <wp:extent cx="5490845" cy="2343785"/>
            <wp:effectExtent l="9525" t="9525" r="14605" b="1841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1"/>
                    <a:stretch>
                      <a:fillRect/>
                    </a:stretch>
                  </pic:blipFill>
                  <pic:spPr>
                    <a:xfrm>
                      <a:off x="0" y="0"/>
                      <a:ext cx="5490845" cy="2343785"/>
                    </a:xfrm>
                    <a:prstGeom prst="rect">
                      <a:avLst/>
                    </a:prstGeom>
                    <a:noFill/>
                    <a:ln w="3175">
                      <a:solidFill>
                        <a:schemeClr val="tx1"/>
                      </a:solidFill>
                    </a:ln>
                  </pic:spPr>
                </pic:pic>
              </a:graphicData>
            </a:graphic>
          </wp:inline>
        </w:drawing>
      </w:r>
    </w:p>
    <w:p w14:paraId="330155B9"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15</w:t>
      </w:r>
      <w:r>
        <w:fldChar w:fldCharType="end"/>
      </w:r>
      <w:r>
        <w:rPr>
          <w:rFonts w:hint="eastAsia"/>
        </w:rPr>
        <w:t xml:space="preserve"> </w:t>
      </w:r>
      <w:r>
        <w:t>教育资源分布与技能培训水平评估及政策实施示意图</w:t>
      </w:r>
    </w:p>
    <w:p w14:paraId="554257A6" w14:textId="77777777" w:rsidR="00111E86" w:rsidRDefault="00000000">
      <w:pPr>
        <w:pStyle w:val="3"/>
        <w:rPr>
          <w:rFonts w:hint="default"/>
        </w:rPr>
      </w:pPr>
      <w:r>
        <w:t>1</w:t>
      </w:r>
      <w:r>
        <w:t>、职业教育和高等教育的发展</w:t>
      </w:r>
    </w:p>
    <w:p w14:paraId="6D29530B" w14:textId="77777777" w:rsidR="00111E86" w:rsidRDefault="00000000">
      <w:pPr>
        <w:ind w:firstLine="420"/>
      </w:pPr>
      <w:r>
        <w:t>政府应加大对中西部欠发达地区职业教育和高等教育的投入，特别是加强与</w:t>
      </w:r>
      <w:proofErr w:type="gramStart"/>
      <w:r>
        <w:t>数智化相关</w:t>
      </w:r>
      <w:proofErr w:type="gramEnd"/>
      <w:r>
        <w:t>的学科建设，如信息技术、人工智能、大数据分析等。通过设立专项资金、引入优质教育资</w:t>
      </w:r>
      <w:r>
        <w:lastRenderedPageBreak/>
        <w:t>源、建设高水平的职业技能培训中心，提升当地劳动者的专业技能和就业能力，使他们能够</w:t>
      </w:r>
      <w:proofErr w:type="gramStart"/>
      <w:r>
        <w:t>胜任数智化</w:t>
      </w:r>
      <w:proofErr w:type="gramEnd"/>
      <w:r>
        <w:t>经济中的各类工作岗位。</w:t>
      </w:r>
    </w:p>
    <w:p w14:paraId="6563C1BC" w14:textId="77777777" w:rsidR="00111E86" w:rsidRDefault="00000000">
      <w:pPr>
        <w:pStyle w:val="3"/>
        <w:rPr>
          <w:rFonts w:hint="default"/>
        </w:rPr>
      </w:pPr>
      <w:r>
        <w:t>2</w:t>
      </w:r>
      <w:r>
        <w:t>、技能培训计划</w:t>
      </w:r>
    </w:p>
    <w:p w14:paraId="3F0C2323" w14:textId="77777777" w:rsidR="00111E86" w:rsidRDefault="00000000">
      <w:pPr>
        <w:ind w:firstLine="420"/>
      </w:pPr>
      <w:r>
        <w:t>针对欠发达地区的劳动者，特别是青年群体，政府</w:t>
      </w:r>
      <w:proofErr w:type="gramStart"/>
      <w:r>
        <w:t>应推出</w:t>
      </w:r>
      <w:proofErr w:type="gramEnd"/>
      <w:r>
        <w:t>专门的技能培训计划，免费或低成本提供</w:t>
      </w:r>
      <w:proofErr w:type="gramStart"/>
      <w:r>
        <w:t>数智化相关</w:t>
      </w:r>
      <w:proofErr w:type="gramEnd"/>
      <w:r>
        <w:t>的技能培训课程。这些课程应涵盖从基础数字素养到高级技术应用的各个层次，以确保不同背景的劳动者都能获得适合的培训机会。</w:t>
      </w:r>
    </w:p>
    <w:p w14:paraId="4FACC763" w14:textId="77777777" w:rsidR="00111E86" w:rsidRDefault="00000000">
      <w:pPr>
        <w:pStyle w:val="3"/>
        <w:rPr>
          <w:rFonts w:hint="default"/>
        </w:rPr>
      </w:pPr>
      <w:r>
        <w:t>3</w:t>
      </w:r>
      <w:r>
        <w:t>、教育资源的流动和共享</w:t>
      </w:r>
    </w:p>
    <w:p w14:paraId="3269FA5B" w14:textId="77777777" w:rsidR="00111E86" w:rsidRDefault="00000000">
      <w:pPr>
        <w:ind w:firstLine="420"/>
      </w:pPr>
      <w:r>
        <w:t>鼓励东部发达地区的高校和职业培训机构与中西部地区的学校建立合作关系，通过远程教育、教师交流、资源共享等方式，帮助中西部地区提升教育质量。同时，政府可以设立</w:t>
      </w:r>
      <w:r>
        <w:t>“</w:t>
      </w:r>
      <w:r>
        <w:t>教育援助项目</w:t>
      </w:r>
      <w:r>
        <w:t>”</w:t>
      </w:r>
      <w:r>
        <w:t>，支持发达地区的优秀教师到欠发达地区任教，提升当地的教学水平。</w:t>
      </w:r>
    </w:p>
    <w:p w14:paraId="26B64349" w14:textId="77777777" w:rsidR="00111E86" w:rsidRDefault="00000000">
      <w:pPr>
        <w:pStyle w:val="2"/>
      </w:pPr>
      <w:r>
        <w:rPr>
          <w:rFonts w:hint="eastAsia"/>
        </w:rPr>
        <w:t>（三）</w:t>
      </w:r>
      <w:r>
        <w:t>构建数字经济的区域创新中心</w:t>
      </w:r>
    </w:p>
    <w:p w14:paraId="39401346" w14:textId="77777777" w:rsidR="00111E86" w:rsidRDefault="00000000">
      <w:pPr>
        <w:ind w:firstLine="420"/>
      </w:pPr>
      <w:r>
        <w:t>构建数字经济的区域创新中心，是推动欠发达地区经济转型升级的重要举措。采取以下措施，推动区域经济的创新驱动发展：</w:t>
      </w:r>
    </w:p>
    <w:p w14:paraId="6A303068" w14:textId="77777777" w:rsidR="00111E86" w:rsidRDefault="00111E86">
      <w:pPr>
        <w:ind w:firstLine="420"/>
      </w:pPr>
    </w:p>
    <w:p w14:paraId="55BDE6AA" w14:textId="77777777" w:rsidR="00111E86" w:rsidRDefault="00000000">
      <w:pPr>
        <w:spacing w:line="240" w:lineRule="auto"/>
        <w:ind w:firstLine="420"/>
        <w:jc w:val="center"/>
      </w:pPr>
      <w:r>
        <w:rPr>
          <w:noProof/>
        </w:rPr>
        <w:drawing>
          <wp:inline distT="0" distB="0" distL="114300" distR="114300" wp14:anchorId="7A8D5125" wp14:editId="1A6EED1B">
            <wp:extent cx="4982210" cy="3141345"/>
            <wp:effectExtent l="9525" t="9525" r="18415"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2"/>
                    <a:stretch>
                      <a:fillRect/>
                    </a:stretch>
                  </pic:blipFill>
                  <pic:spPr>
                    <a:xfrm>
                      <a:off x="0" y="0"/>
                      <a:ext cx="4982210" cy="3141345"/>
                    </a:xfrm>
                    <a:prstGeom prst="rect">
                      <a:avLst/>
                    </a:prstGeom>
                    <a:noFill/>
                    <a:ln w="3175">
                      <a:solidFill>
                        <a:schemeClr val="tx1"/>
                      </a:solidFill>
                    </a:ln>
                  </pic:spPr>
                </pic:pic>
              </a:graphicData>
            </a:graphic>
          </wp:inline>
        </w:drawing>
      </w:r>
    </w:p>
    <w:p w14:paraId="7146DC46" w14:textId="77777777" w:rsidR="00111E86" w:rsidRDefault="00000000">
      <w:pPr>
        <w:pStyle w:val="a3"/>
        <w:spacing w:line="240" w:lineRule="auto"/>
        <w:ind w:firstLine="400"/>
        <w:jc w:val="center"/>
        <w:rPr>
          <w:rFonts w:ascii="Times New Roman" w:eastAsiaTheme="minorEastAsia" w:hAnsi="Times New Roman"/>
          <w:sz w:val="21"/>
        </w:rPr>
      </w:pPr>
      <w:r>
        <w:t>图</w:t>
      </w:r>
      <w:r>
        <w:t xml:space="preserve"> </w:t>
      </w:r>
      <w:r>
        <w:fldChar w:fldCharType="begin"/>
      </w:r>
      <w:r>
        <w:instrText xml:space="preserve"> SEQ </w:instrText>
      </w:r>
      <w:r>
        <w:instrText>图</w:instrText>
      </w:r>
      <w:r>
        <w:instrText xml:space="preserve"> \* ARABIC </w:instrText>
      </w:r>
      <w:r>
        <w:fldChar w:fldCharType="separate"/>
      </w:r>
      <w:r>
        <w:t>16</w:t>
      </w:r>
      <w:r>
        <w:fldChar w:fldCharType="end"/>
      </w:r>
      <w:r>
        <w:rPr>
          <w:rFonts w:hint="eastAsia"/>
        </w:rPr>
        <w:t xml:space="preserve"> </w:t>
      </w:r>
      <w:r>
        <w:t>创新能力与产业竞争力评估及政策实施示意图</w:t>
      </w:r>
    </w:p>
    <w:p w14:paraId="467D6570" w14:textId="77777777" w:rsidR="00111E86" w:rsidRDefault="00000000">
      <w:pPr>
        <w:pStyle w:val="3"/>
        <w:rPr>
          <w:rFonts w:hint="default"/>
        </w:rPr>
      </w:pPr>
      <w:r>
        <w:t>1</w:t>
      </w:r>
      <w:r>
        <w:t>、设立创新中心和孵化器</w:t>
      </w:r>
    </w:p>
    <w:p w14:paraId="53A944D7" w14:textId="77777777" w:rsidR="00111E86" w:rsidRDefault="00000000">
      <w:pPr>
        <w:ind w:firstLine="420"/>
      </w:pPr>
      <w:r>
        <w:lastRenderedPageBreak/>
        <w:t>在欠发达地区设立数字经济创新中心和企业孵化器，为当地创业者和小</w:t>
      </w:r>
      <w:proofErr w:type="gramStart"/>
      <w:r>
        <w:t>微企业</w:t>
      </w:r>
      <w:proofErr w:type="gramEnd"/>
      <w:r>
        <w:t>提供技术支持、资金帮助和市场开拓等服务。通过政策激励，吸引数字技术领域的优秀人才和创业团队在这些地区扎根发展，形成区域性的创新生态系统。</w:t>
      </w:r>
    </w:p>
    <w:p w14:paraId="1FC2CD11" w14:textId="77777777" w:rsidR="00111E86" w:rsidRDefault="00000000">
      <w:pPr>
        <w:pStyle w:val="3"/>
        <w:rPr>
          <w:rFonts w:hint="default"/>
        </w:rPr>
      </w:pPr>
      <w:r>
        <w:t>2</w:t>
      </w:r>
      <w:r>
        <w:t>、产业集群发展</w:t>
      </w:r>
    </w:p>
    <w:p w14:paraId="0F41BA4E" w14:textId="77777777" w:rsidR="00111E86" w:rsidRDefault="00000000">
      <w:pPr>
        <w:ind w:firstLine="420"/>
      </w:pPr>
      <w:r>
        <w:t>政府应鼓励和引导相关企业在欠发达地区形成数字经济产业集群。通过发挥集群效应，促进上下游产业链的集聚，增强区域整体的产业竞争力。同时，政府可以通过政策扶持，重点培育一批具有潜力的数字经济企业，打造区域品牌，带动整个区域的经济增长。</w:t>
      </w:r>
    </w:p>
    <w:p w14:paraId="6794ED7E" w14:textId="77777777" w:rsidR="00111E86" w:rsidRDefault="00000000">
      <w:pPr>
        <w:pStyle w:val="3"/>
        <w:rPr>
          <w:rFonts w:hint="default"/>
        </w:rPr>
      </w:pPr>
      <w:r>
        <w:t>3</w:t>
      </w:r>
      <w:r>
        <w:t>、技术转移和知识共享</w:t>
      </w:r>
    </w:p>
    <w:p w14:paraId="5767EC97" w14:textId="77777777" w:rsidR="00111E86" w:rsidRDefault="00000000">
      <w:pPr>
        <w:ind w:firstLine="420"/>
      </w:pPr>
      <w:r>
        <w:t>政府可以通过建立技术交易平台，推动发达地区的技术成果在欠发达地区的转移与应用，促进科技成果的跨区域转化。此外，通过知识共享平台，增强区域间的技术交流与合作，助力欠发达地区</w:t>
      </w:r>
      <w:proofErr w:type="gramStart"/>
      <w:r>
        <w:t>加速数智化</w:t>
      </w:r>
      <w:proofErr w:type="gramEnd"/>
      <w:r>
        <w:t>转型。</w:t>
      </w:r>
      <w:r>
        <w:rPr>
          <w:rStyle w:val="a9"/>
        </w:rPr>
        <w:t>[</w:t>
      </w:r>
      <w:r>
        <w:rPr>
          <w:rStyle w:val="a9"/>
        </w:rPr>
        <w:endnoteReference w:id="8"/>
      </w:r>
      <w:r>
        <w:rPr>
          <w:rStyle w:val="a9"/>
        </w:rPr>
        <w:t>]</w:t>
      </w:r>
    </w:p>
    <w:p w14:paraId="48EC3353" w14:textId="77777777" w:rsidR="00111E86" w:rsidRDefault="00000000">
      <w:pPr>
        <w:pStyle w:val="2"/>
      </w:pPr>
      <w:r>
        <w:rPr>
          <w:rFonts w:hint="eastAsia"/>
        </w:rPr>
        <w:t>（四）</w:t>
      </w:r>
      <w:r>
        <w:t>推动区域间社会保障的均等化</w:t>
      </w:r>
    </w:p>
    <w:p w14:paraId="2879C228" w14:textId="77777777" w:rsidR="00111E86" w:rsidRDefault="00000000">
      <w:pPr>
        <w:ind w:firstLine="420"/>
      </w:pPr>
      <w:r>
        <w:t>实现共同富裕需要建立均衡的社会保障体系，以确保全国范围内的居民都能享受相同水平的社会保障服务，具体措施</w:t>
      </w:r>
      <w:r>
        <w:rPr>
          <w:rFonts w:hint="eastAsia"/>
        </w:rPr>
        <w:t>可以</w:t>
      </w:r>
      <w:r>
        <w:t>包括：</w:t>
      </w:r>
    </w:p>
    <w:p w14:paraId="621A4B8D" w14:textId="77777777" w:rsidR="00111E86" w:rsidRDefault="00000000">
      <w:pPr>
        <w:pStyle w:val="3"/>
        <w:rPr>
          <w:rFonts w:hint="default"/>
        </w:rPr>
      </w:pPr>
      <w:r>
        <w:t>1</w:t>
      </w:r>
      <w:r>
        <w:t>、加大社保支持力度</w:t>
      </w:r>
    </w:p>
    <w:p w14:paraId="25D143F4" w14:textId="77777777" w:rsidR="00111E86" w:rsidRDefault="00000000">
      <w:pPr>
        <w:ind w:firstLine="420"/>
      </w:pPr>
      <w:r>
        <w:t>政府应针对欠发达地区加大社会保障的支持力度，确保这些地区的居民能够享有与发达地区相同的基本生活保障。这可以通过提高欠发达地区的社保补贴标准、扩大社保覆盖面、提升社保福利水平来实现。</w:t>
      </w:r>
    </w:p>
    <w:p w14:paraId="6828B869" w14:textId="77777777" w:rsidR="00111E86" w:rsidRDefault="00000000">
      <w:pPr>
        <w:pStyle w:val="3"/>
        <w:rPr>
          <w:rFonts w:hint="default"/>
        </w:rPr>
      </w:pPr>
      <w:r>
        <w:t>2</w:t>
      </w:r>
      <w:r>
        <w:t>、统一的社会保障信息平台</w:t>
      </w:r>
    </w:p>
    <w:p w14:paraId="7D378D00" w14:textId="77777777" w:rsidR="00111E86" w:rsidRDefault="00000000">
      <w:pPr>
        <w:ind w:firstLine="420"/>
      </w:pPr>
      <w:r>
        <w:t>构建全国统一的社会保障信息系统，实现社会保障信息的跨区域共享与集中管理。这样不仅可以消除区域间社保待遇的差异，还可以提高社保服务的效率和透明度，方便居民跨区域流动和享受社保权益。</w:t>
      </w:r>
    </w:p>
    <w:p w14:paraId="572938AD" w14:textId="77777777" w:rsidR="00111E86" w:rsidRDefault="00000000">
      <w:pPr>
        <w:pStyle w:val="3"/>
        <w:rPr>
          <w:rFonts w:hint="default"/>
        </w:rPr>
      </w:pPr>
      <w:r>
        <w:t>3</w:t>
      </w:r>
      <w:r>
        <w:t>、医疗和养老保障的均衡发展</w:t>
      </w:r>
    </w:p>
    <w:p w14:paraId="63703277" w14:textId="77777777" w:rsidR="00111E86" w:rsidRDefault="00000000">
      <w:pPr>
        <w:ind w:firstLine="420"/>
      </w:pPr>
      <w:r>
        <w:t>政府应特别关注欠发达地区的医疗和养老保障问题，增加这些地区的医疗卫生投入，提升基层医疗服务水平；同时，通过政策扶持，鼓励社会力量参与养老服务，改善欠发达地区的养老条件，确保老年人能够安享晚年。</w:t>
      </w:r>
    </w:p>
    <w:p w14:paraId="624CF577" w14:textId="77777777" w:rsidR="00111E86" w:rsidRDefault="00000000">
      <w:pPr>
        <w:pStyle w:val="2"/>
      </w:pPr>
      <w:r>
        <w:rPr>
          <w:rFonts w:hint="eastAsia"/>
        </w:rPr>
        <w:lastRenderedPageBreak/>
        <w:t>（五）</w:t>
      </w:r>
      <w:proofErr w:type="gramStart"/>
      <w:r>
        <w:t>数智化</w:t>
      </w:r>
      <w:proofErr w:type="gramEnd"/>
      <w:r>
        <w:t>转型中的未来挑战与应对策略</w:t>
      </w:r>
    </w:p>
    <w:p w14:paraId="3D71C832" w14:textId="77777777" w:rsidR="00111E86" w:rsidRDefault="00000000">
      <w:pPr>
        <w:ind w:firstLine="420"/>
      </w:pPr>
      <w:proofErr w:type="gramStart"/>
      <w:r>
        <w:t>随着数智化</w:t>
      </w:r>
      <w:proofErr w:type="gramEnd"/>
      <w:r>
        <w:t>转型的深入推进，中国在实现共同富裕的过程中将面临一系列新的挑战。</w:t>
      </w:r>
    </w:p>
    <w:p w14:paraId="511A0A91" w14:textId="77777777" w:rsidR="00111E86" w:rsidRDefault="00000000">
      <w:pPr>
        <w:pStyle w:val="3"/>
        <w:rPr>
          <w:rFonts w:hint="default"/>
        </w:rPr>
      </w:pPr>
      <w:r>
        <w:t>1</w:t>
      </w:r>
      <w:r>
        <w:t>、</w:t>
      </w:r>
      <w:r>
        <w:t xml:space="preserve"> </w:t>
      </w:r>
      <w:r>
        <w:t>技术失业的风险</w:t>
      </w:r>
    </w:p>
    <w:p w14:paraId="6F1445CC" w14:textId="77777777" w:rsidR="00111E86" w:rsidRDefault="00000000">
      <w:pPr>
        <w:ind w:firstLine="420"/>
      </w:pPr>
      <w:proofErr w:type="gramStart"/>
      <w:r>
        <w:t>数智化</w:t>
      </w:r>
      <w:proofErr w:type="gramEnd"/>
      <w:r>
        <w:t>转型在提高生产效率的同时，可能导致传统产业岗位的减少，特别是在劳动密集型产业中，自动化和人工智能的应用可能导致大规模的技术失业。</w:t>
      </w:r>
    </w:p>
    <w:p w14:paraId="77C69D3D" w14:textId="77777777" w:rsidR="00111E86" w:rsidRDefault="00000000">
      <w:pPr>
        <w:ind w:firstLine="420"/>
      </w:pPr>
      <w:r>
        <w:t>应对策略：政府应加大对职业技能培训的投入，特别是针对中西部欠发达地区的劳动者，提供免费的或低成本的技能提升课程。这些课程应</w:t>
      </w:r>
      <w:proofErr w:type="gramStart"/>
      <w:r>
        <w:t>包括数智化</w:t>
      </w:r>
      <w:proofErr w:type="gramEnd"/>
      <w:r>
        <w:t>技术的基础知识以及新兴行业的就业技能，帮助劳动者顺利转型，适应新的就业市场。政府还可以通过鼓励创业和小型企业的成长，为失业人员创造更多的工作机会。</w:t>
      </w:r>
    </w:p>
    <w:p w14:paraId="198B305D" w14:textId="77777777" w:rsidR="00111E86" w:rsidRDefault="00000000">
      <w:pPr>
        <w:pStyle w:val="3"/>
        <w:rPr>
          <w:rFonts w:hint="default"/>
        </w:rPr>
      </w:pPr>
      <w:r>
        <w:t>2</w:t>
      </w:r>
      <w:r>
        <w:t>、</w:t>
      </w:r>
      <w:r>
        <w:t xml:space="preserve"> </w:t>
      </w:r>
      <w:r>
        <w:t>区域发展</w:t>
      </w:r>
      <w:proofErr w:type="gramStart"/>
      <w:r>
        <w:t>不</w:t>
      </w:r>
      <w:proofErr w:type="gramEnd"/>
      <w:r>
        <w:t>均衡的加剧</w:t>
      </w:r>
    </w:p>
    <w:p w14:paraId="0BCB155D" w14:textId="77777777" w:rsidR="00111E86" w:rsidRDefault="00000000">
      <w:pPr>
        <w:ind w:firstLine="420"/>
      </w:pPr>
      <w:r>
        <w:t>中国已经采取了多项措施来缩小区域差距，</w:t>
      </w:r>
      <w:proofErr w:type="gramStart"/>
      <w:r>
        <w:t>但数智化</w:t>
      </w:r>
      <w:proofErr w:type="gramEnd"/>
      <w:r>
        <w:t>转型可能会进一步加剧这一问题。东部发达地区在技术、资金和人才方面具有优势，可能更快地</w:t>
      </w:r>
      <w:proofErr w:type="gramStart"/>
      <w:r>
        <w:t>从数智化</w:t>
      </w:r>
      <w:proofErr w:type="gramEnd"/>
      <w:r>
        <w:t>转型中受益，而中西部欠发达地区则可能因为基础设施和技术能力不足，面临被边缘化的风险。</w:t>
      </w:r>
    </w:p>
    <w:p w14:paraId="08FF3F65" w14:textId="77777777" w:rsidR="00111E86" w:rsidRDefault="00000000">
      <w:pPr>
        <w:ind w:firstLine="420"/>
      </w:pPr>
      <w:r>
        <w:t>应对策略：</w:t>
      </w:r>
      <w:r>
        <w:t xml:space="preserve"> </w:t>
      </w:r>
      <w:r>
        <w:t>政府需要继续强化对中西部欠发达地区的政策支持，通过财政转移支付、专项资金和优惠政策等手段，提升这些地区</w:t>
      </w:r>
      <w:proofErr w:type="gramStart"/>
      <w:r>
        <w:t>的数智化</w:t>
      </w:r>
      <w:proofErr w:type="gramEnd"/>
      <w:r>
        <w:t>基础设施建设水平。同时，应加强区域间的技术和人才交流，推动发达地区的先进技术和管理经验向欠发达地区转移。此外，政府应鼓励和引导数字经济企业在中西部地区投资设厂，推动区域产业结构的优化升级。</w:t>
      </w:r>
    </w:p>
    <w:p w14:paraId="432FB86B" w14:textId="77777777" w:rsidR="00111E86" w:rsidRDefault="00111E86">
      <w:pPr>
        <w:ind w:firstLine="420"/>
      </w:pPr>
    </w:p>
    <w:p w14:paraId="18C2B997" w14:textId="77777777" w:rsidR="00111E86" w:rsidRDefault="00111E86">
      <w:pPr>
        <w:ind w:firstLine="420"/>
      </w:pPr>
    </w:p>
    <w:p w14:paraId="01568BBC" w14:textId="77777777" w:rsidR="00111E86" w:rsidRDefault="00111E86">
      <w:pPr>
        <w:ind w:firstLine="420"/>
      </w:pPr>
    </w:p>
    <w:p w14:paraId="703B4F69" w14:textId="77777777" w:rsidR="00111E86" w:rsidRDefault="00000000">
      <w:pPr>
        <w:pStyle w:val="1"/>
      </w:pPr>
      <w:r>
        <w:rPr>
          <w:rFonts w:hint="eastAsia"/>
        </w:rPr>
        <w:t>六、</w:t>
      </w:r>
      <w:r>
        <w:t>未被实践的蓝图</w:t>
      </w:r>
      <w:r>
        <w:rPr>
          <w:rFonts w:hint="eastAsia"/>
        </w:rPr>
        <w:t>——</w:t>
      </w:r>
      <w:proofErr w:type="gramStart"/>
      <w:r>
        <w:t>数智化</w:t>
      </w:r>
      <w:proofErr w:type="gramEnd"/>
      <w:r>
        <w:t>转型中的创新政策探索</w:t>
      </w:r>
    </w:p>
    <w:p w14:paraId="2E625E1E" w14:textId="77777777" w:rsidR="00111E86" w:rsidRDefault="00000000">
      <w:pPr>
        <w:pStyle w:val="2"/>
      </w:pPr>
      <w:r>
        <w:rPr>
          <w:rFonts w:hint="eastAsia"/>
        </w:rPr>
        <w:t>（一）</w:t>
      </w:r>
      <w:r>
        <w:t>创新型区域合作机制的建立</w:t>
      </w:r>
    </w:p>
    <w:p w14:paraId="0EC1645E" w14:textId="77777777" w:rsidR="00111E86" w:rsidRDefault="00000000">
      <w:pPr>
        <w:ind w:firstLine="420"/>
      </w:pPr>
      <w:r>
        <w:t>建立</w:t>
      </w:r>
      <w:r>
        <w:rPr>
          <w:rFonts w:hint="eastAsia"/>
        </w:rPr>
        <w:t>“</w:t>
      </w:r>
      <w:r>
        <w:t>区域数智化合作机制</w:t>
      </w:r>
      <w:r>
        <w:rPr>
          <w:rFonts w:hint="eastAsia"/>
        </w:rPr>
        <w:t>”</w:t>
      </w:r>
      <w:r>
        <w:t>，通过发达地区和欠发达地区联合设立跨</w:t>
      </w:r>
      <w:proofErr w:type="gramStart"/>
      <w:r>
        <w:t>区域数智化</w:t>
      </w:r>
      <w:proofErr w:type="gramEnd"/>
      <w:r>
        <w:t>发展基金，用于支持欠发达地区的基础设施建设、人才培养以及技术引进。该机制强调区域间的合作与资源共享，尤其在数智化基础设施和技术扩散领域，旨在缩小区域差距。目前，中国在推进区域协调发展过程中，主要依赖中央政府的政策扶持和资金转移支付，但这种区域间的合作机制尚未形成系统化和常态化。尤其在数智化转型领域，跨区域的合作和资源共享还</w:t>
      </w:r>
      <w:r>
        <w:lastRenderedPageBreak/>
        <w:t>处于探索阶段，并没有得到广泛的实践和应用。</w:t>
      </w:r>
    </w:p>
    <w:p w14:paraId="2C3417DB" w14:textId="77777777" w:rsidR="00111E86" w:rsidRDefault="00000000">
      <w:pPr>
        <w:spacing w:line="240" w:lineRule="auto"/>
        <w:ind w:firstLine="420"/>
        <w:jc w:val="center"/>
      </w:pPr>
      <w:r>
        <w:rPr>
          <w:noProof/>
        </w:rPr>
        <w:drawing>
          <wp:inline distT="0" distB="0" distL="114300" distR="114300" wp14:anchorId="2C8AF79B" wp14:editId="6A49C422">
            <wp:extent cx="2676525" cy="1649095"/>
            <wp:effectExtent l="9525" t="9525" r="952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3"/>
                    <a:stretch>
                      <a:fillRect/>
                    </a:stretch>
                  </pic:blipFill>
                  <pic:spPr>
                    <a:xfrm>
                      <a:off x="0" y="0"/>
                      <a:ext cx="2676525" cy="1649095"/>
                    </a:xfrm>
                    <a:prstGeom prst="rect">
                      <a:avLst/>
                    </a:prstGeom>
                    <a:noFill/>
                    <a:ln w="3175">
                      <a:solidFill>
                        <a:schemeClr val="tx1"/>
                      </a:solidFill>
                    </a:ln>
                  </pic:spPr>
                </pic:pic>
              </a:graphicData>
            </a:graphic>
          </wp:inline>
        </w:drawing>
      </w:r>
    </w:p>
    <w:p w14:paraId="6583FEC1"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17</w:t>
      </w:r>
      <w:r>
        <w:fldChar w:fldCharType="end"/>
      </w:r>
      <w:r>
        <w:rPr>
          <w:rFonts w:hint="eastAsia"/>
        </w:rPr>
        <w:t xml:space="preserve"> </w:t>
      </w:r>
      <w:r>
        <w:rPr>
          <w:rFonts w:hint="eastAsia"/>
        </w:rPr>
        <w:t>合作、共享基金</w:t>
      </w:r>
    </w:p>
    <w:p w14:paraId="13D115EC" w14:textId="77777777" w:rsidR="00111E86" w:rsidRDefault="00000000">
      <w:pPr>
        <w:ind w:firstLine="420"/>
      </w:pPr>
      <w:r>
        <w:rPr>
          <w:rFonts w:hint="eastAsia"/>
        </w:rPr>
        <w:t>创新点：</w:t>
      </w:r>
      <w:r>
        <w:t>通过制度创新和利益协调机制的设计，建立一个透明、公平的合作平台，使得发达地区与欠发达地区能够有效</w:t>
      </w:r>
      <w:proofErr w:type="gramStart"/>
      <w:r>
        <w:t>分享数智化</w:t>
      </w:r>
      <w:proofErr w:type="gramEnd"/>
      <w:r>
        <w:t>带来的红利，真正实现区域间的协调发展。可以参考欧盟内部的跨国合作模式，依靠法律和制度的支持，确保合作机制的持久有效运作。</w:t>
      </w:r>
    </w:p>
    <w:p w14:paraId="5742B01C" w14:textId="77777777" w:rsidR="00111E86" w:rsidRDefault="00000000">
      <w:pPr>
        <w:spacing w:line="240" w:lineRule="auto"/>
        <w:ind w:firstLine="420"/>
        <w:jc w:val="center"/>
      </w:pPr>
      <w:r>
        <w:rPr>
          <w:noProof/>
        </w:rPr>
        <w:drawing>
          <wp:inline distT="0" distB="0" distL="114300" distR="114300" wp14:anchorId="2AF6297D" wp14:editId="40A271C8">
            <wp:extent cx="4662805" cy="1606550"/>
            <wp:effectExtent l="9525" t="9525" r="13970" b="1270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4"/>
                    <a:stretch>
                      <a:fillRect/>
                    </a:stretch>
                  </pic:blipFill>
                  <pic:spPr>
                    <a:xfrm>
                      <a:off x="0" y="0"/>
                      <a:ext cx="4662805" cy="1606550"/>
                    </a:xfrm>
                    <a:prstGeom prst="rect">
                      <a:avLst/>
                    </a:prstGeom>
                    <a:noFill/>
                    <a:ln w="3175">
                      <a:solidFill>
                        <a:schemeClr val="tx1"/>
                      </a:solidFill>
                    </a:ln>
                  </pic:spPr>
                </pic:pic>
              </a:graphicData>
            </a:graphic>
          </wp:inline>
        </w:drawing>
      </w:r>
    </w:p>
    <w:p w14:paraId="346B16E9"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18</w:t>
      </w:r>
      <w:r>
        <w:fldChar w:fldCharType="end"/>
      </w:r>
      <w:r>
        <w:rPr>
          <w:rFonts w:hint="eastAsia"/>
        </w:rPr>
        <w:t xml:space="preserve"> </w:t>
      </w:r>
      <w:r>
        <w:t>区域合作框架</w:t>
      </w:r>
    </w:p>
    <w:p w14:paraId="0B5AC256" w14:textId="77777777" w:rsidR="00111E86" w:rsidRDefault="00000000">
      <w:pPr>
        <w:pStyle w:val="2"/>
      </w:pPr>
      <w:r>
        <w:rPr>
          <w:rFonts w:hint="eastAsia"/>
        </w:rPr>
        <w:t>（二）</w:t>
      </w:r>
      <w:r>
        <w:t>动态调整的</w:t>
      </w:r>
      <w:proofErr w:type="gramStart"/>
      <w:r>
        <w:t>数智化培训</w:t>
      </w:r>
      <w:proofErr w:type="gramEnd"/>
      <w:r>
        <w:t>计划</w:t>
      </w:r>
    </w:p>
    <w:p w14:paraId="33DE20FA" w14:textId="77777777" w:rsidR="00111E86" w:rsidRDefault="00000000">
      <w:pPr>
        <w:ind w:firstLine="420"/>
      </w:pPr>
      <w:r>
        <w:t>在欠发达地区实施一个</w:t>
      </w:r>
      <w:r>
        <w:rPr>
          <w:rFonts w:hint="eastAsia"/>
        </w:rPr>
        <w:t>“</w:t>
      </w:r>
      <w:r>
        <w:t>动态调整的数智化培训计划</w:t>
      </w:r>
      <w:r>
        <w:rPr>
          <w:rFonts w:hint="eastAsia"/>
        </w:rPr>
        <w:t>”</w:t>
      </w:r>
      <w:r>
        <w:t>，根据不同时期的技术发展动态，及时调整培训内容，确保劳动者始终掌握最新</w:t>
      </w:r>
      <w:proofErr w:type="gramStart"/>
      <w:r>
        <w:t>的数智化</w:t>
      </w:r>
      <w:proofErr w:type="gramEnd"/>
      <w:r>
        <w:t>技能。这个计划包括与高科技企业合作，进行定向培养和快速迭代培训，以缩短技能培训与实际应用之间的时间差。</w:t>
      </w:r>
    </w:p>
    <w:p w14:paraId="6BA3F873" w14:textId="77777777" w:rsidR="00111E86" w:rsidRDefault="00000000">
      <w:pPr>
        <w:ind w:firstLine="420"/>
      </w:pPr>
      <w:r>
        <w:t>动态调整培训计划需要实时监测市场需求和技术发展动态，同时还</w:t>
      </w:r>
      <w:proofErr w:type="gramStart"/>
      <w:r>
        <w:t>需快速</w:t>
      </w:r>
      <w:proofErr w:type="gramEnd"/>
      <w:r>
        <w:t>开发新的培训内容，这在欠发达地区的资源配置和技术支持方面存在挑战。目前，大多数培训计划在欠发达地区仍以基础数字技能为主，缺乏与前沿技术动态挂钩的机制。即便有些地区尝试了与企业合作进行培训，但普遍存在培训内容滞后于市场需求的问题，且更新不够及时。</w:t>
      </w:r>
    </w:p>
    <w:p w14:paraId="0C7F479F" w14:textId="77777777" w:rsidR="00111E86" w:rsidRDefault="00000000">
      <w:pPr>
        <w:ind w:firstLine="420"/>
      </w:pPr>
      <w:r>
        <w:rPr>
          <w:rFonts w:hint="eastAsia"/>
        </w:rPr>
        <w:t>创新点：</w:t>
      </w:r>
      <w:r>
        <w:t>引入人工智能和大数据技术，对劳动力市场和技术发展进行实时监测，并自动调整培训内容，使得培训计划能够快速适应市场变化。通过税收减免、资金支持等激励措施，</w:t>
      </w:r>
      <w:r>
        <w:lastRenderedPageBreak/>
        <w:t>鼓励更多高科技企业参与欠发达地区的培训计划，并提供最新的技术培训资源和实践机会。</w:t>
      </w:r>
    </w:p>
    <w:p w14:paraId="09EB4B59" w14:textId="77777777" w:rsidR="00111E86" w:rsidRDefault="00000000">
      <w:pPr>
        <w:spacing w:line="240" w:lineRule="auto"/>
        <w:ind w:firstLine="420"/>
        <w:jc w:val="center"/>
      </w:pPr>
      <w:r>
        <w:rPr>
          <w:noProof/>
        </w:rPr>
        <w:drawing>
          <wp:inline distT="0" distB="0" distL="114300" distR="114300" wp14:anchorId="32F3E989" wp14:editId="52530B7A">
            <wp:extent cx="5264785" cy="2254885"/>
            <wp:effectExtent l="9525" t="9525" r="12065"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5"/>
                    <a:stretch>
                      <a:fillRect/>
                    </a:stretch>
                  </pic:blipFill>
                  <pic:spPr>
                    <a:xfrm>
                      <a:off x="0" y="0"/>
                      <a:ext cx="5264785" cy="2254885"/>
                    </a:xfrm>
                    <a:prstGeom prst="rect">
                      <a:avLst/>
                    </a:prstGeom>
                    <a:noFill/>
                    <a:ln w="3175">
                      <a:solidFill>
                        <a:schemeClr val="tx1"/>
                      </a:solidFill>
                    </a:ln>
                  </pic:spPr>
                </pic:pic>
              </a:graphicData>
            </a:graphic>
          </wp:inline>
        </w:drawing>
      </w:r>
    </w:p>
    <w:p w14:paraId="22B64BBB" w14:textId="77777777" w:rsidR="00111E86" w:rsidRDefault="00000000">
      <w:pPr>
        <w:pStyle w:val="a3"/>
        <w:spacing w:line="240" w:lineRule="auto"/>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t>19</w:t>
      </w:r>
      <w:r>
        <w:fldChar w:fldCharType="end"/>
      </w:r>
      <w:r>
        <w:rPr>
          <w:rFonts w:hint="eastAsia"/>
        </w:rPr>
        <w:t xml:space="preserve"> </w:t>
      </w:r>
      <w:r>
        <w:t>动态调整的</w:t>
      </w:r>
      <w:proofErr w:type="gramStart"/>
      <w:r>
        <w:t>数智化培训</w:t>
      </w:r>
      <w:proofErr w:type="gramEnd"/>
      <w:r>
        <w:t>计划</w:t>
      </w:r>
    </w:p>
    <w:p w14:paraId="468419D4" w14:textId="77777777" w:rsidR="00111E86" w:rsidRDefault="00111E86">
      <w:pPr>
        <w:ind w:firstLine="420"/>
      </w:pPr>
    </w:p>
    <w:p w14:paraId="54DFAC23" w14:textId="77777777" w:rsidR="00111E86" w:rsidRDefault="00111E86">
      <w:pPr>
        <w:ind w:firstLine="420"/>
      </w:pPr>
    </w:p>
    <w:p w14:paraId="23DB978E" w14:textId="77777777" w:rsidR="00111E86" w:rsidRDefault="00111E86">
      <w:pPr>
        <w:ind w:firstLine="420"/>
      </w:pPr>
    </w:p>
    <w:p w14:paraId="3A51D816" w14:textId="77777777" w:rsidR="00111E86" w:rsidRDefault="00111E86">
      <w:pPr>
        <w:ind w:firstLine="420"/>
      </w:pPr>
    </w:p>
    <w:p w14:paraId="70DB91FD" w14:textId="77777777" w:rsidR="00111E86" w:rsidRDefault="00111E86">
      <w:pPr>
        <w:ind w:firstLine="420"/>
      </w:pPr>
    </w:p>
    <w:p w14:paraId="327C9A7C" w14:textId="77777777" w:rsidR="00111E86" w:rsidRDefault="00111E86">
      <w:pPr>
        <w:ind w:firstLine="420"/>
      </w:pPr>
    </w:p>
    <w:p w14:paraId="713F5F62" w14:textId="77777777" w:rsidR="00111E86" w:rsidRDefault="00111E86">
      <w:pPr>
        <w:ind w:firstLine="420"/>
      </w:pPr>
    </w:p>
    <w:p w14:paraId="273B38BA" w14:textId="77777777" w:rsidR="00111E86" w:rsidRDefault="00111E86">
      <w:pPr>
        <w:ind w:firstLine="420"/>
      </w:pPr>
    </w:p>
    <w:p w14:paraId="25FBF071" w14:textId="77777777" w:rsidR="00111E86" w:rsidRDefault="00111E86">
      <w:pPr>
        <w:ind w:firstLine="420"/>
      </w:pPr>
    </w:p>
    <w:p w14:paraId="4D43F3B8" w14:textId="77777777" w:rsidR="00111E86" w:rsidRDefault="00111E86">
      <w:pPr>
        <w:ind w:firstLine="420"/>
      </w:pPr>
    </w:p>
    <w:p w14:paraId="42E9BD6C" w14:textId="77777777" w:rsidR="00111E86" w:rsidRDefault="00111E86">
      <w:pPr>
        <w:ind w:firstLine="420"/>
      </w:pPr>
    </w:p>
    <w:p w14:paraId="1C14C170" w14:textId="77777777" w:rsidR="00111E86" w:rsidRDefault="00111E86">
      <w:pPr>
        <w:ind w:firstLine="420"/>
      </w:pPr>
    </w:p>
    <w:p w14:paraId="634D9A10" w14:textId="77777777" w:rsidR="00111E86" w:rsidRDefault="00111E86">
      <w:pPr>
        <w:ind w:firstLine="420"/>
      </w:pPr>
    </w:p>
    <w:p w14:paraId="331C3061" w14:textId="77777777" w:rsidR="00111E86" w:rsidRDefault="00000000">
      <w:pPr>
        <w:pStyle w:val="1"/>
      </w:pPr>
      <w:r>
        <w:rPr>
          <w:rFonts w:hint="eastAsia"/>
        </w:rPr>
        <w:lastRenderedPageBreak/>
        <w:t>七</w:t>
      </w:r>
      <w:r>
        <w:t>、马克思主义视角下中国在区域协调发展中的成功经验分析</w:t>
      </w:r>
    </w:p>
    <w:p w14:paraId="5B78C789" w14:textId="77777777" w:rsidR="00111E86" w:rsidRDefault="00000000">
      <w:pPr>
        <w:pStyle w:val="2"/>
      </w:pPr>
      <w:r>
        <w:rPr>
          <w:rFonts w:hint="eastAsia"/>
        </w:rPr>
        <w:t>（一）</w:t>
      </w:r>
      <w:r>
        <w:t>政府主导的区域协调发展战略</w:t>
      </w:r>
    </w:p>
    <w:p w14:paraId="438BCBDB" w14:textId="77777777" w:rsidR="00111E86" w:rsidRDefault="00000000">
      <w:pPr>
        <w:ind w:firstLine="420"/>
      </w:pPr>
      <w:r>
        <w:t>在中国，区域协调发展战略由政府主导，作为促进区域均衡发展的重要工具，充分展示了马克思主义区域发展理论的中国化实践。中国政府通过科学的规划和政策引导，成功实施了一系列重大区域发展战略，如西部大开发、东北振兴、中部崛起等，旨在缩小区域间的经济差距，促进全国范围内的共同富裕。</w:t>
      </w:r>
    </w:p>
    <w:p w14:paraId="6518586A" w14:textId="77777777" w:rsidR="00111E86" w:rsidRDefault="00000000">
      <w:pPr>
        <w:pStyle w:val="3"/>
        <w:rPr>
          <w:rFonts w:hint="default"/>
        </w:rPr>
      </w:pPr>
      <w:r>
        <w:t>1</w:t>
      </w:r>
      <w:r>
        <w:t>、西部大开发战略</w:t>
      </w:r>
    </w:p>
    <w:p w14:paraId="7204BBC3" w14:textId="77777777" w:rsidR="00111E86" w:rsidRDefault="00000000">
      <w:pPr>
        <w:ind w:firstLine="420"/>
      </w:pPr>
      <w:r>
        <w:t>西部大开发战略是中国政府在</w:t>
      </w:r>
      <w:r>
        <w:t>1999</w:t>
      </w:r>
      <w:r>
        <w:t>年启动的一项重大国家战略，旨在通过加强基础设施建设、吸引投资、促进教育和科技发展，全面提升中国西部地区的经济和社会发展水平。这一战略的实施背景、核心内容、实施效果以及在马克思主义视角下的意义都值得深入探讨。</w:t>
      </w:r>
    </w:p>
    <w:p w14:paraId="3AA41F34" w14:textId="77777777" w:rsidR="00111E86" w:rsidRDefault="00000000">
      <w:pPr>
        <w:ind w:firstLineChars="0" w:firstLine="0"/>
      </w:pPr>
      <w:r>
        <w:rPr>
          <w:rFonts w:hint="eastAsia"/>
        </w:rPr>
        <w:t>（</w:t>
      </w:r>
      <w:r>
        <w:rPr>
          <w:rFonts w:hint="eastAsia"/>
        </w:rPr>
        <w:t>1</w:t>
      </w:r>
      <w:r>
        <w:rPr>
          <w:rFonts w:hint="eastAsia"/>
        </w:rPr>
        <w:t>）</w:t>
      </w:r>
      <w:r>
        <w:t>核心措施</w:t>
      </w:r>
    </w:p>
    <w:p w14:paraId="454DCF01" w14:textId="77777777" w:rsidR="00111E86" w:rsidRDefault="00000000">
      <w:pPr>
        <w:ind w:firstLine="420"/>
      </w:pPr>
      <w:r>
        <w:t>基础设施建设：通过大规模投资，改善西部地区的交通、能源、通信等基础设施，为经济发展提供了坚实的物质基础。</w:t>
      </w:r>
    </w:p>
    <w:p w14:paraId="550B2D48" w14:textId="77777777" w:rsidR="00111E86" w:rsidRDefault="00000000">
      <w:pPr>
        <w:ind w:firstLine="420"/>
      </w:pPr>
      <w:r>
        <w:t>产业结构调整：推进西部地区产业优化，培育特色产业，鼓励科技创新，提升区域竞争力。</w:t>
      </w:r>
    </w:p>
    <w:p w14:paraId="28D50DC8" w14:textId="77777777" w:rsidR="00111E86" w:rsidRDefault="00000000">
      <w:pPr>
        <w:ind w:firstLine="420"/>
      </w:pPr>
      <w:r>
        <w:t>生态环境保护：在推动经济发展的过程中，重视生态环境的保护，推动可持续发展。</w:t>
      </w:r>
    </w:p>
    <w:p w14:paraId="107E7758" w14:textId="77777777" w:rsidR="00111E86" w:rsidRDefault="00000000">
      <w:pPr>
        <w:ind w:firstLineChars="0" w:firstLine="0"/>
      </w:pPr>
      <w:r>
        <w:rPr>
          <w:rFonts w:hint="eastAsia"/>
        </w:rPr>
        <w:t>（</w:t>
      </w:r>
      <w:r>
        <w:rPr>
          <w:rFonts w:hint="eastAsia"/>
        </w:rPr>
        <w:t>2</w:t>
      </w:r>
      <w:r>
        <w:rPr>
          <w:rFonts w:hint="eastAsia"/>
        </w:rPr>
        <w:t>）</w:t>
      </w:r>
      <w:r>
        <w:t>战略的成功经验</w:t>
      </w:r>
    </w:p>
    <w:p w14:paraId="5EB51B98" w14:textId="77777777" w:rsidR="00111E86" w:rsidRDefault="00000000">
      <w:pPr>
        <w:ind w:firstLine="420"/>
      </w:pPr>
      <w:r>
        <w:t>西部大开发战略通过政府主导的规划和执行，实现了西部地区基础设施的显著改善和经济的快速增长。这一战略不仅是中国解决区域不平衡发展的成功实践，也展示了中国模式在马克思主义理论指导下，通过国家干预，实现共同富裕的有效性。</w:t>
      </w:r>
    </w:p>
    <w:p w14:paraId="64F09200" w14:textId="77777777" w:rsidR="00111E86" w:rsidRDefault="00000000">
      <w:pPr>
        <w:pStyle w:val="3"/>
        <w:rPr>
          <w:rFonts w:hint="default"/>
        </w:rPr>
      </w:pPr>
      <w:r>
        <w:t>2</w:t>
      </w:r>
      <w:r>
        <w:t>、东北振兴战略</w:t>
      </w:r>
    </w:p>
    <w:p w14:paraId="7C1DE688" w14:textId="77777777" w:rsidR="00111E86" w:rsidRDefault="00000000">
      <w:pPr>
        <w:ind w:firstLine="420"/>
      </w:pPr>
      <w:r>
        <w:t>东北振兴战略是中国政府在</w:t>
      </w:r>
      <w:r>
        <w:t>2003</w:t>
      </w:r>
      <w:r>
        <w:t>年启动的，旨在重振东北地区传统工业基地的活力，推动经济结构调整和社会经济发展。这一战略体现了马克思主义区域发展理论在中国的实践，通过国家主导的政策干预，解决区域经济转型和发展中的突出问题。</w:t>
      </w:r>
    </w:p>
    <w:p w14:paraId="2221FC20" w14:textId="77777777" w:rsidR="00111E86" w:rsidRDefault="00000000">
      <w:pPr>
        <w:ind w:firstLineChars="0" w:firstLine="0"/>
      </w:pPr>
      <w:r>
        <w:rPr>
          <w:rFonts w:hint="eastAsia"/>
        </w:rPr>
        <w:t>（</w:t>
      </w:r>
      <w:r>
        <w:rPr>
          <w:rFonts w:hint="eastAsia"/>
        </w:rPr>
        <w:t>1</w:t>
      </w:r>
      <w:r>
        <w:rPr>
          <w:rFonts w:hint="eastAsia"/>
        </w:rPr>
        <w:t>）</w:t>
      </w:r>
      <w:r>
        <w:t>核心措施</w:t>
      </w:r>
    </w:p>
    <w:p w14:paraId="0CD20FE6" w14:textId="77777777" w:rsidR="00111E86" w:rsidRDefault="00000000">
      <w:pPr>
        <w:ind w:firstLine="420"/>
      </w:pPr>
      <w:r>
        <w:t>产业结构调整：推动传统制造业的改造升级，发展现代服务业、高新技术产业，以及农</w:t>
      </w:r>
      <w:r>
        <w:lastRenderedPageBreak/>
        <w:t>业现代化，形成多元化的产业结构。</w:t>
      </w:r>
    </w:p>
    <w:p w14:paraId="71B8ADD6" w14:textId="77777777" w:rsidR="00111E86" w:rsidRDefault="00000000">
      <w:pPr>
        <w:ind w:firstLine="420"/>
      </w:pPr>
      <w:r>
        <w:t>国有企业改革：深入推进国企改革，提升企业活力和市场竞争能力，同时解决国企转型过程中遗留下来的历史问题。</w:t>
      </w:r>
    </w:p>
    <w:p w14:paraId="54F1EF4A" w14:textId="77777777" w:rsidR="00111E86" w:rsidRDefault="00000000">
      <w:pPr>
        <w:ind w:firstLine="420"/>
      </w:pPr>
      <w:r>
        <w:t>基础设施建设：加强交通、能源和城市基础设施的建设，优化投资环境，吸引外资与技术的引入。</w:t>
      </w:r>
    </w:p>
    <w:p w14:paraId="6075D029" w14:textId="77777777" w:rsidR="00111E86" w:rsidRDefault="00000000">
      <w:pPr>
        <w:ind w:firstLine="420"/>
      </w:pPr>
      <w:r>
        <w:t>社会保障体系建设：健全社会保障制度，确保失业和下岗职工的基本生活，维护社会安定。</w:t>
      </w:r>
    </w:p>
    <w:p w14:paraId="22BF8C6A" w14:textId="77777777" w:rsidR="00111E86" w:rsidRDefault="00000000">
      <w:pPr>
        <w:ind w:firstLineChars="0" w:firstLine="0"/>
      </w:pPr>
      <w:r>
        <w:rPr>
          <w:rFonts w:hint="eastAsia"/>
        </w:rPr>
        <w:t>（</w:t>
      </w:r>
      <w:r>
        <w:rPr>
          <w:rFonts w:hint="eastAsia"/>
        </w:rPr>
        <w:t>2</w:t>
      </w:r>
      <w:r>
        <w:rPr>
          <w:rFonts w:hint="eastAsia"/>
        </w:rPr>
        <w:t>）</w:t>
      </w:r>
      <w:r>
        <w:t>战略的成功经验</w:t>
      </w:r>
    </w:p>
    <w:p w14:paraId="297A77FB" w14:textId="77777777" w:rsidR="00111E86" w:rsidRDefault="00000000">
      <w:pPr>
        <w:ind w:firstLine="420"/>
      </w:pPr>
      <w:r>
        <w:t>东北振兴战略通过政府主导的干预，逐步恢复了东北地区的经济活力。虽然面临挑战，但通过推动产业结构调整、深化国企改革和改善基础设施，东北地区开始重新焕发活力。这一战略展示了中国模式在区域经济转型中的有效性，也进一步证明了马克思主义理论在指导中国经济社会发展的适应性和可行性。</w:t>
      </w:r>
    </w:p>
    <w:p w14:paraId="5A5997DF" w14:textId="77777777" w:rsidR="00111E86" w:rsidRDefault="00000000">
      <w:pPr>
        <w:pStyle w:val="3"/>
        <w:rPr>
          <w:rFonts w:hint="default"/>
        </w:rPr>
      </w:pPr>
      <w:r>
        <w:t>3</w:t>
      </w:r>
      <w:r>
        <w:t>、</w:t>
      </w:r>
      <w:r>
        <w:t xml:space="preserve"> </w:t>
      </w:r>
      <w:r>
        <w:t>中部崛起战略</w:t>
      </w:r>
    </w:p>
    <w:p w14:paraId="3A242EFD" w14:textId="77777777" w:rsidR="00111E86" w:rsidRDefault="00000000">
      <w:pPr>
        <w:ind w:firstLine="420"/>
      </w:pPr>
      <w:r>
        <w:t>中部崛起战略是中国政府在</w:t>
      </w:r>
      <w:r>
        <w:t>2006</w:t>
      </w:r>
      <w:r>
        <w:t>年启动的一项重大区域发展战略，旨在促进中国中部地区的经济发展，缩小与东部沿海和西部地区的差距，实现全国区域协调发展。这一战略在马克思主义区域发展理论的指导下，通过政府主导的政策措施，推动中部地区的经济社会全面崛起。</w:t>
      </w:r>
    </w:p>
    <w:p w14:paraId="192B65BF" w14:textId="77777777" w:rsidR="00111E86" w:rsidRDefault="00000000">
      <w:pPr>
        <w:ind w:firstLineChars="0" w:firstLine="0"/>
      </w:pPr>
      <w:r>
        <w:rPr>
          <w:rFonts w:hint="eastAsia"/>
        </w:rPr>
        <w:t>（</w:t>
      </w:r>
      <w:r>
        <w:rPr>
          <w:rFonts w:hint="eastAsia"/>
        </w:rPr>
        <w:t>1</w:t>
      </w:r>
      <w:r>
        <w:rPr>
          <w:rFonts w:hint="eastAsia"/>
        </w:rPr>
        <w:t>）</w:t>
      </w:r>
      <w:r>
        <w:t>核心措施</w:t>
      </w:r>
    </w:p>
    <w:p w14:paraId="30EB0EF4" w14:textId="77777777" w:rsidR="00111E86" w:rsidRDefault="00000000">
      <w:pPr>
        <w:ind w:firstLine="420"/>
      </w:pPr>
      <w:r>
        <w:t>产业结构升级：重点发展中部地区的制造业、现代农业和高新技术产业，推动产业结构优化升级，提升区域经济竞争力。</w:t>
      </w:r>
    </w:p>
    <w:p w14:paraId="44A973D1" w14:textId="77777777" w:rsidR="00111E86" w:rsidRDefault="00000000">
      <w:pPr>
        <w:ind w:firstLine="420"/>
      </w:pPr>
      <w:r>
        <w:t>基础设施建设：加大对中部地区交通、能源、通信等基础设施的投资，改善投资环境，增强区域物流和人员流动的便捷性。</w:t>
      </w:r>
    </w:p>
    <w:p w14:paraId="33CCF636" w14:textId="77777777" w:rsidR="00111E86" w:rsidRDefault="00000000">
      <w:pPr>
        <w:ind w:firstLine="420"/>
      </w:pPr>
      <w:r>
        <w:t>农业现代化：全面利用中部地区的农业优势，推动农业现代化，发展高效、绿色农业，提升农业产值，增加农民收入。</w:t>
      </w:r>
    </w:p>
    <w:p w14:paraId="590E54ED" w14:textId="77777777" w:rsidR="00111E86" w:rsidRDefault="00000000">
      <w:pPr>
        <w:ind w:firstLine="420"/>
      </w:pPr>
      <w:r>
        <w:t>区域经济协作：加强中部地区与东部沿海和西部地区的经济联系，利用中部的区位优势，打造贯通南北、连接东西的经济走廊。</w:t>
      </w:r>
    </w:p>
    <w:p w14:paraId="15DCE3BD" w14:textId="77777777" w:rsidR="00111E86" w:rsidRDefault="00000000">
      <w:pPr>
        <w:ind w:firstLineChars="0" w:firstLine="0"/>
      </w:pPr>
      <w:r>
        <w:rPr>
          <w:rFonts w:hint="eastAsia"/>
        </w:rPr>
        <w:lastRenderedPageBreak/>
        <w:t>（</w:t>
      </w:r>
      <w:r>
        <w:rPr>
          <w:rFonts w:hint="eastAsia"/>
        </w:rPr>
        <w:t>2</w:t>
      </w:r>
      <w:r>
        <w:rPr>
          <w:rFonts w:hint="eastAsia"/>
        </w:rPr>
        <w:t>）</w:t>
      </w:r>
      <w:r>
        <w:t>战略的成功经验</w:t>
      </w:r>
    </w:p>
    <w:p w14:paraId="561982C1" w14:textId="77777777" w:rsidR="00111E86" w:rsidRDefault="00000000">
      <w:pPr>
        <w:ind w:firstLine="420"/>
      </w:pPr>
      <w:r>
        <w:t>中部崛起战略在国家主导的政策支持下，促进了中部地区的经济发展和社会进步。产业结构升级和基础设施的改善显著增强了中部地区的竞争力，推动了区域经济的快速增长。该战略不仅缩小了中部与其他地区的差距，还加强了区域间的经济协作，展示了马克思主义区域发展理论在中国的成功实践，进一步丰富了中国模式在区域协调发展中的经验。</w:t>
      </w:r>
    </w:p>
    <w:p w14:paraId="2BBA0FB0" w14:textId="77777777" w:rsidR="00111E86" w:rsidRDefault="00000000">
      <w:pPr>
        <w:pStyle w:val="2"/>
      </w:pPr>
      <w:r>
        <w:rPr>
          <w:rFonts w:hint="eastAsia"/>
        </w:rPr>
        <w:t>（二）</w:t>
      </w:r>
      <w:r>
        <w:t>社会主义市场经济与公有制的结合</w:t>
      </w:r>
    </w:p>
    <w:p w14:paraId="1BF8AA28" w14:textId="77777777" w:rsidR="00111E86" w:rsidRDefault="00000000">
      <w:pPr>
        <w:ind w:firstLine="420"/>
      </w:pPr>
      <w:r>
        <w:t>中国的社会主义市场经济模式是马克思主义经济理论在中国的创新性实践结晶。通过将市场机制与社会主义公有制相结合，中国成功解决了传统社会主义计划经济体制中的资源配置效率问题，同时保持了社会主义制度下的社会公正和公平。</w:t>
      </w:r>
    </w:p>
    <w:p w14:paraId="2DA4847E" w14:textId="77777777" w:rsidR="00111E86" w:rsidRDefault="00000000">
      <w:pPr>
        <w:pStyle w:val="3"/>
        <w:rPr>
          <w:rFonts w:hint="default"/>
        </w:rPr>
      </w:pPr>
      <w:r>
        <w:t>1</w:t>
      </w:r>
      <w:r>
        <w:t>、市场机制的作用</w:t>
      </w:r>
    </w:p>
    <w:p w14:paraId="1B7BA5F3" w14:textId="77777777" w:rsidR="00111E86" w:rsidRDefault="00000000">
      <w:pPr>
        <w:ind w:firstLine="420"/>
      </w:pPr>
      <w:r>
        <w:t>在社会主义市场经济体制下，市场在资源配置中发挥基础性作用。通过市场竞争，企业能够有效优化资源配置，提升生产效率。东部沿海地区在改革开放初期，充分利用市场机制，通过招商引资、开放市场，迅速积累了资本和技术，实现了经济的跨越式发展。</w:t>
      </w:r>
    </w:p>
    <w:p w14:paraId="719A1C63" w14:textId="77777777" w:rsidR="00111E86" w:rsidRDefault="00000000">
      <w:pPr>
        <w:pStyle w:val="3"/>
        <w:rPr>
          <w:rFonts w:hint="default"/>
        </w:rPr>
      </w:pPr>
      <w:r>
        <w:t>2</w:t>
      </w:r>
      <w:r>
        <w:t>、公有制保障社会公正</w:t>
      </w:r>
    </w:p>
    <w:p w14:paraId="403FFC40" w14:textId="77777777" w:rsidR="00111E86" w:rsidRDefault="00000000">
      <w:pPr>
        <w:ind w:firstLine="420"/>
      </w:pPr>
      <w:r>
        <w:t>尽管市场机制在资源配置中发挥了重要作用，但中国始终坚持以公有制为主体的基本经济制度。这种制度安排确保了国家对重要资源和经济命脉的控制，避免了市场经济中的过度分配不公问题。通过国有企业的存在和政府的调控作用，中国有效调节了区域间的发展差距，为实现共同富裕提供了制度保障。</w:t>
      </w:r>
    </w:p>
    <w:p w14:paraId="71BCE782" w14:textId="77777777" w:rsidR="00111E86" w:rsidRDefault="00000000">
      <w:pPr>
        <w:pStyle w:val="3"/>
        <w:rPr>
          <w:rFonts w:hint="default"/>
        </w:rPr>
      </w:pPr>
      <w:r>
        <w:t>3</w:t>
      </w:r>
      <w:r>
        <w:t>、“有为政府”与“有效市场”的结合</w:t>
      </w:r>
    </w:p>
    <w:p w14:paraId="770A5245" w14:textId="77777777" w:rsidR="00111E86" w:rsidRDefault="00000000">
      <w:pPr>
        <w:ind w:firstLine="420"/>
      </w:pPr>
      <w:r>
        <w:t>中国的社会主义市场经济模式强调</w:t>
      </w:r>
      <w:r>
        <w:rPr>
          <w:rFonts w:hint="eastAsia"/>
        </w:rPr>
        <w:t>“</w:t>
      </w:r>
      <w:r>
        <w:t>有为政府</w:t>
      </w:r>
      <w:r>
        <w:rPr>
          <w:rFonts w:hint="eastAsia"/>
        </w:rPr>
        <w:t>”</w:t>
      </w:r>
      <w:r>
        <w:t>与</w:t>
      </w:r>
      <w:r>
        <w:rPr>
          <w:rFonts w:hint="eastAsia"/>
        </w:rPr>
        <w:t>“</w:t>
      </w:r>
      <w:r>
        <w:t>有效市场</w:t>
      </w:r>
      <w:r>
        <w:rPr>
          <w:rFonts w:hint="eastAsia"/>
        </w:rPr>
        <w:t>”</w:t>
      </w:r>
      <w:r>
        <w:t>的有机结合。政府不仅制定和执行宏观经济政策，还通过各种干预措施调节市场机制的不足，特别是在区域协调发展方面，政府发挥了关键作用。例如，通过财政转移支付、产业政策、区域发展规划等措施，政府成功缩小了区域间的发展差距，推动了经济社会的协调发展。</w:t>
      </w:r>
    </w:p>
    <w:p w14:paraId="62031E92" w14:textId="77777777" w:rsidR="00111E86" w:rsidRDefault="00000000">
      <w:pPr>
        <w:pStyle w:val="2"/>
      </w:pPr>
      <w:r>
        <w:rPr>
          <w:rFonts w:hint="eastAsia"/>
        </w:rPr>
        <w:t>（三）</w:t>
      </w:r>
      <w:r>
        <w:t>以人民为中心的发展理念</w:t>
      </w:r>
    </w:p>
    <w:p w14:paraId="2CB8AA78" w14:textId="77777777" w:rsidR="00111E86" w:rsidRDefault="00000000">
      <w:pPr>
        <w:ind w:firstLine="420"/>
      </w:pPr>
      <w:r>
        <w:t>以人民为中心的发展理念是中国特色社会主义的核心价值之一，贯穿于中国区域差异治理和数智化转型的各个方面。这一理念源自马克思主义的人民观，强调人民是历史的创造者，人民的利益是最根本的利益。中国的发展模式始终坚持这一理念，确保发展的成果惠及全体</w:t>
      </w:r>
      <w:r>
        <w:lastRenderedPageBreak/>
        <w:t>人民，特别是在数智化转型过程中，中国政府通过一系列政策措施，确保了全体人民共享发展成果，体现了中国特色社会主义的优越性。</w:t>
      </w:r>
    </w:p>
    <w:p w14:paraId="437098DB" w14:textId="77777777" w:rsidR="00111E86" w:rsidRDefault="00000000">
      <w:pPr>
        <w:pStyle w:val="3"/>
        <w:rPr>
          <w:rFonts w:hint="default"/>
        </w:rPr>
      </w:pPr>
      <w:r>
        <w:t>1</w:t>
      </w:r>
      <w:r>
        <w:t>、改善民生，提升公共服务水平</w:t>
      </w:r>
    </w:p>
    <w:p w14:paraId="51A4EC8A" w14:textId="77777777" w:rsidR="00111E86" w:rsidRDefault="00000000">
      <w:pPr>
        <w:ind w:firstLine="420"/>
      </w:pPr>
      <w:r>
        <w:t>中国政府在</w:t>
      </w:r>
      <w:proofErr w:type="gramStart"/>
      <w:r>
        <w:t>推进数智化</w:t>
      </w:r>
      <w:proofErr w:type="gramEnd"/>
      <w:r>
        <w:t>转型过程中，始终将改善民生、提升公共服务水平作为重要目标。通过推进智慧医疗、智慧教育、智慧交通等领域的数字智能化发展，政府大幅提升了公共服务的效率与覆盖范围。例如，通过</w:t>
      </w:r>
      <w:r>
        <w:t>“</w:t>
      </w:r>
      <w:r>
        <w:t>互联网</w:t>
      </w:r>
      <w:r>
        <w:t>+</w:t>
      </w:r>
      <w:r>
        <w:t>医疗</w:t>
      </w:r>
      <w:r>
        <w:t>”</w:t>
      </w:r>
      <w:r>
        <w:t>的发展，偏远地区的居民可以通过远程医疗平台获得优质的医疗资源，显著提升了公共卫生服务的均等化水平。</w:t>
      </w:r>
    </w:p>
    <w:p w14:paraId="3F1341F3" w14:textId="77777777" w:rsidR="00111E86" w:rsidRDefault="00000000">
      <w:pPr>
        <w:pStyle w:val="3"/>
        <w:rPr>
          <w:rFonts w:hint="default"/>
        </w:rPr>
      </w:pPr>
      <w:r>
        <w:t>2</w:t>
      </w:r>
      <w:r>
        <w:t>、缩小城乡差距，推动农村现代化</w:t>
      </w:r>
    </w:p>
    <w:p w14:paraId="60D5DC9E" w14:textId="77777777" w:rsidR="00111E86" w:rsidRDefault="00000000">
      <w:pPr>
        <w:ind w:firstLine="420"/>
      </w:pPr>
      <w:r>
        <w:t>在数智化转型的过程中，中国政府特别注重缩小城乡差距，推动农村地区的现代化建设。通过加大对农村地区的数字基础设施投资，发展智慧农业，推广农村电商平台等措施，政府成功推动了农村地区的现代化进程，显著提高了农民的收入水平和生活质量，进一步促进了城乡一体化发展。</w:t>
      </w:r>
    </w:p>
    <w:p w14:paraId="077D9555" w14:textId="77777777" w:rsidR="00111E86" w:rsidRDefault="00000000">
      <w:pPr>
        <w:pStyle w:val="3"/>
        <w:rPr>
          <w:rFonts w:hint="default"/>
        </w:rPr>
      </w:pPr>
      <w:r>
        <w:t>3</w:t>
      </w:r>
      <w:r>
        <w:t>、全民共享发展红利</w:t>
      </w:r>
    </w:p>
    <w:p w14:paraId="77D6A1FC" w14:textId="77777777" w:rsidR="00111E86" w:rsidRDefault="00000000">
      <w:pPr>
        <w:ind w:firstLine="420"/>
      </w:pPr>
      <w:r>
        <w:t>中国政府通过不断完善社会保障体系，确保全体人民能够平等</w:t>
      </w:r>
      <w:proofErr w:type="gramStart"/>
      <w:r>
        <w:t>享有数智化</w:t>
      </w:r>
      <w:proofErr w:type="gramEnd"/>
      <w:r>
        <w:t>转型带来的发展红利。无论是贫困地区的扶贫开发，还是中西部地区的基础设施建设，政府都投入了大量资源，确保社会弱势群体不</w:t>
      </w:r>
      <w:proofErr w:type="gramStart"/>
      <w:r>
        <w:t>被数智化</w:t>
      </w:r>
      <w:proofErr w:type="gramEnd"/>
      <w:r>
        <w:t>发展进程所抛弃，从而真正实现共同富裕。</w:t>
      </w:r>
    </w:p>
    <w:p w14:paraId="00114506" w14:textId="77777777" w:rsidR="00111E86" w:rsidRDefault="00111E86">
      <w:pPr>
        <w:ind w:firstLineChars="0" w:firstLine="0"/>
      </w:pPr>
    </w:p>
    <w:p w14:paraId="3191B00D" w14:textId="77777777" w:rsidR="00111E86" w:rsidRDefault="00111E86">
      <w:pPr>
        <w:ind w:firstLineChars="0" w:firstLine="0"/>
      </w:pPr>
    </w:p>
    <w:p w14:paraId="3D1BB765" w14:textId="77777777" w:rsidR="00111E86" w:rsidRDefault="00111E86">
      <w:pPr>
        <w:ind w:firstLineChars="0" w:firstLine="0"/>
      </w:pPr>
    </w:p>
    <w:p w14:paraId="6B57688B" w14:textId="77777777" w:rsidR="00111E86" w:rsidRDefault="00111E86">
      <w:pPr>
        <w:ind w:firstLineChars="0" w:firstLine="0"/>
      </w:pPr>
    </w:p>
    <w:p w14:paraId="135287F2" w14:textId="77777777" w:rsidR="00111E86" w:rsidRDefault="00111E86">
      <w:pPr>
        <w:ind w:firstLineChars="0" w:firstLine="0"/>
      </w:pPr>
    </w:p>
    <w:p w14:paraId="603614AC" w14:textId="77777777" w:rsidR="00111E86" w:rsidRDefault="00111E86">
      <w:pPr>
        <w:ind w:firstLineChars="0" w:firstLine="0"/>
      </w:pPr>
    </w:p>
    <w:p w14:paraId="15C3E873" w14:textId="77777777" w:rsidR="00111E86" w:rsidRDefault="00111E86">
      <w:pPr>
        <w:ind w:firstLineChars="0" w:firstLine="0"/>
      </w:pPr>
    </w:p>
    <w:p w14:paraId="17B92EB7" w14:textId="77777777" w:rsidR="00111E86" w:rsidRDefault="00111E86">
      <w:pPr>
        <w:ind w:firstLineChars="0" w:firstLine="0"/>
      </w:pPr>
    </w:p>
    <w:p w14:paraId="3641D907" w14:textId="77777777" w:rsidR="00111E86" w:rsidRDefault="00111E86">
      <w:pPr>
        <w:ind w:firstLineChars="0" w:firstLine="0"/>
      </w:pPr>
    </w:p>
    <w:p w14:paraId="172FC460" w14:textId="77777777" w:rsidR="00111E86" w:rsidRDefault="00111E86">
      <w:pPr>
        <w:ind w:firstLineChars="0" w:firstLine="0"/>
      </w:pPr>
    </w:p>
    <w:p w14:paraId="1E8D60C2" w14:textId="77777777" w:rsidR="00111E86" w:rsidRDefault="00111E86">
      <w:pPr>
        <w:ind w:firstLineChars="0" w:firstLine="0"/>
      </w:pPr>
    </w:p>
    <w:p w14:paraId="30C5A9B3" w14:textId="77777777" w:rsidR="00111E86" w:rsidRDefault="00111E86">
      <w:pPr>
        <w:ind w:firstLineChars="0" w:firstLine="0"/>
      </w:pPr>
    </w:p>
    <w:p w14:paraId="2A0C0CD9" w14:textId="77777777" w:rsidR="00111E86" w:rsidRDefault="00111E86">
      <w:pPr>
        <w:ind w:firstLineChars="0" w:firstLine="0"/>
      </w:pPr>
    </w:p>
    <w:p w14:paraId="2B55ABFD" w14:textId="77777777" w:rsidR="00111E86" w:rsidRDefault="00111E86">
      <w:pPr>
        <w:ind w:firstLineChars="0" w:firstLine="0"/>
      </w:pPr>
    </w:p>
    <w:p w14:paraId="10B3C382" w14:textId="77777777" w:rsidR="00111E86" w:rsidRDefault="00111E86">
      <w:pPr>
        <w:ind w:firstLineChars="0" w:firstLine="0"/>
      </w:pPr>
    </w:p>
    <w:p w14:paraId="5B600759" w14:textId="77777777" w:rsidR="00111E86" w:rsidRDefault="00111E86">
      <w:pPr>
        <w:ind w:firstLineChars="0" w:firstLine="0"/>
      </w:pPr>
    </w:p>
    <w:p w14:paraId="0E06D938" w14:textId="77777777" w:rsidR="00111E86" w:rsidRDefault="00111E86">
      <w:pPr>
        <w:ind w:firstLineChars="0" w:firstLine="0"/>
      </w:pPr>
    </w:p>
    <w:p w14:paraId="37C804CC" w14:textId="77777777" w:rsidR="00111E86" w:rsidRDefault="00111E86">
      <w:pPr>
        <w:ind w:firstLineChars="0" w:firstLine="0"/>
      </w:pPr>
    </w:p>
    <w:p w14:paraId="0F6CDC94" w14:textId="77777777" w:rsidR="00111E86" w:rsidRDefault="00111E86">
      <w:pPr>
        <w:ind w:firstLineChars="0" w:firstLine="0"/>
      </w:pPr>
    </w:p>
    <w:p w14:paraId="5E56E4C4" w14:textId="77777777" w:rsidR="00111E86" w:rsidRDefault="00111E86">
      <w:pPr>
        <w:ind w:firstLineChars="0" w:firstLine="0"/>
      </w:pPr>
    </w:p>
    <w:p w14:paraId="46932C96" w14:textId="77777777" w:rsidR="00111E86" w:rsidRDefault="00111E86">
      <w:pPr>
        <w:ind w:firstLineChars="0" w:firstLine="0"/>
      </w:pPr>
    </w:p>
    <w:p w14:paraId="17225A39" w14:textId="77777777" w:rsidR="00111E86" w:rsidRDefault="00111E86">
      <w:pPr>
        <w:ind w:firstLineChars="0" w:firstLine="0"/>
      </w:pPr>
    </w:p>
    <w:p w14:paraId="1BEC0D7B" w14:textId="77777777" w:rsidR="00111E86" w:rsidRDefault="00111E86">
      <w:pPr>
        <w:ind w:firstLineChars="0" w:firstLine="0"/>
      </w:pPr>
    </w:p>
    <w:p w14:paraId="49CDFA2E" w14:textId="77777777" w:rsidR="00111E86" w:rsidRDefault="00111E86">
      <w:pPr>
        <w:ind w:firstLineChars="0" w:firstLine="0"/>
      </w:pPr>
    </w:p>
    <w:p w14:paraId="7E039006" w14:textId="77777777" w:rsidR="00111E86" w:rsidRDefault="00111E86">
      <w:pPr>
        <w:ind w:firstLineChars="0" w:firstLine="0"/>
      </w:pPr>
    </w:p>
    <w:p w14:paraId="69B923CC" w14:textId="77777777" w:rsidR="00111E86" w:rsidRDefault="00111E86">
      <w:pPr>
        <w:ind w:firstLineChars="0" w:firstLine="0"/>
      </w:pPr>
    </w:p>
    <w:p w14:paraId="7E9F3F6B" w14:textId="77777777" w:rsidR="00111E86" w:rsidRDefault="00111E86">
      <w:pPr>
        <w:ind w:firstLineChars="0" w:firstLine="0"/>
      </w:pPr>
    </w:p>
    <w:p w14:paraId="3E50E4CE" w14:textId="77777777" w:rsidR="00111E86" w:rsidRDefault="00111E86">
      <w:pPr>
        <w:ind w:firstLineChars="0" w:firstLine="0"/>
      </w:pPr>
    </w:p>
    <w:p w14:paraId="40669345" w14:textId="77777777" w:rsidR="00111E86" w:rsidRDefault="00111E86">
      <w:pPr>
        <w:ind w:firstLineChars="0" w:firstLine="0"/>
      </w:pPr>
    </w:p>
    <w:p w14:paraId="3A2C8F24" w14:textId="77777777" w:rsidR="00111E86" w:rsidRDefault="00000000">
      <w:pPr>
        <w:pStyle w:val="1"/>
      </w:pPr>
      <w:r>
        <w:rPr>
          <w:rFonts w:hint="eastAsia"/>
        </w:rPr>
        <w:t>八、</w:t>
      </w:r>
      <w:proofErr w:type="gramStart"/>
      <w:r>
        <w:t>中国数智化</w:t>
      </w:r>
      <w:proofErr w:type="gramEnd"/>
      <w:r>
        <w:t>转型背景下区域差异治理的总结与未来展望</w:t>
      </w:r>
    </w:p>
    <w:p w14:paraId="5A7C2015" w14:textId="77777777" w:rsidR="00111E86" w:rsidRDefault="00000000">
      <w:pPr>
        <w:ind w:firstLine="420"/>
      </w:pPr>
      <w:proofErr w:type="gramStart"/>
      <w:r>
        <w:t>数智化</w:t>
      </w:r>
      <w:proofErr w:type="gramEnd"/>
      <w:r>
        <w:t>转型正在成为推动中国经济高质量发展的重要引擎，但这一转型也带来了新的挑战，特别是加剧了区域间的发展不平衡问题。东部沿海发达地区凭借其强大的技术、资金和人才优势，在数智化进程中取得了显著的成就，经济发展快速而稳健。然而，中西部欠发达</w:t>
      </w:r>
      <w:r>
        <w:lastRenderedPageBreak/>
        <w:t>地区由于基础设施薄弱、技术储备不足，难以跟上这一转型的步伐，导致区域经济差距进一步扩大，并且在社会服务、公共资源分配等方面的差距也日益显著。</w:t>
      </w:r>
    </w:p>
    <w:p w14:paraId="66E7B4D2" w14:textId="77777777" w:rsidR="00111E86" w:rsidRDefault="00000000">
      <w:pPr>
        <w:ind w:firstLine="420"/>
      </w:pPr>
      <w:r>
        <w:rPr>
          <w:rFonts w:hint="eastAsia"/>
        </w:rPr>
        <w:t>第一，</w:t>
      </w:r>
      <w:r>
        <w:t>通过建立</w:t>
      </w:r>
      <w:r>
        <w:rPr>
          <w:rFonts w:hint="eastAsia"/>
        </w:rPr>
        <w:t>“</w:t>
      </w:r>
      <w:r>
        <w:t>区域数智化合作机制</w:t>
      </w:r>
      <w:r>
        <w:rPr>
          <w:rFonts w:hint="eastAsia"/>
        </w:rPr>
        <w:t>”</w:t>
      </w:r>
      <w:r>
        <w:t>，发达地区与欠发达地区联合设立跨</w:t>
      </w:r>
      <w:proofErr w:type="gramStart"/>
      <w:r>
        <w:t>区域数智化</w:t>
      </w:r>
      <w:proofErr w:type="gramEnd"/>
      <w:r>
        <w:t>发展基金，以支持欠发达地区的基础设施建设、人才培养以及技术引进，旨在通过资源共享和技术扩散缩小区域差距。</w:t>
      </w:r>
      <w:r>
        <w:rPr>
          <w:rFonts w:hint="eastAsia"/>
        </w:rPr>
        <w:t>第二，</w:t>
      </w:r>
      <w:r>
        <w:t>在欠发达地区实施</w:t>
      </w:r>
      <w:r>
        <w:rPr>
          <w:rFonts w:hint="eastAsia"/>
        </w:rPr>
        <w:t>“</w:t>
      </w:r>
      <w:r>
        <w:t>动态调整的数智化培训计划</w:t>
      </w:r>
      <w:r>
        <w:rPr>
          <w:rFonts w:hint="eastAsia"/>
        </w:rPr>
        <w:t>”</w:t>
      </w:r>
      <w:r>
        <w:t>，通过实时监测市场需求和技术发展动态，及时调整培训内容，确保劳动者始终掌握最新</w:t>
      </w:r>
      <w:proofErr w:type="gramStart"/>
      <w:r>
        <w:t>的数智化</w:t>
      </w:r>
      <w:proofErr w:type="gramEnd"/>
      <w:r>
        <w:t>技能。这个计划通过与高科技企业合作，提供定向培养和快速迭代培训，缩短技能培训与实际应用之间的时间差，帮助欠发达地区的劳动者提升竞争力。</w:t>
      </w:r>
    </w:p>
    <w:p w14:paraId="6210CB68" w14:textId="77777777" w:rsidR="00111E86" w:rsidRDefault="00000000">
      <w:pPr>
        <w:ind w:firstLine="420"/>
      </w:pPr>
      <w:r>
        <w:t>这些政策建议的实施，将有助于缩小区域间的技术鸿沟，促进区域间的协调发展，实现经济和社会的均衡发展。未来，必须继续坚持政府主导与市场机制相结合的模式，充分发挥社会主义制度在资源调配和宏观调控中的优势，通过科学的政策设计和有效的执行，</w:t>
      </w:r>
      <w:proofErr w:type="gramStart"/>
      <w:r>
        <w:t>确保数智化</w:t>
      </w:r>
      <w:proofErr w:type="gramEnd"/>
      <w:r>
        <w:t>发展的成果能够惠及全国各地的人民，从而为实现共同富裕奠定坚实的基础。</w:t>
      </w:r>
    </w:p>
    <w:p w14:paraId="39583CEF" w14:textId="77777777" w:rsidR="00111E86" w:rsidRDefault="00000000">
      <w:pPr>
        <w:ind w:firstLine="420"/>
      </w:pPr>
      <w:r>
        <w:t>中国还需进一步加强对欠发达地区的政策支持，尤其是在教育、技能培训和区域创新能力的提升方面，确保这些地区能够在数智化浪潮中获得更好的发展机会和公平的竞争环境。通过这些努力，推动区域经济协调发展，使得数智化转型真正成为实现共同富裕的重要途径。</w:t>
      </w:r>
    </w:p>
    <w:p w14:paraId="092662BC" w14:textId="77777777" w:rsidR="00111E86" w:rsidRDefault="00111E86">
      <w:pPr>
        <w:ind w:firstLineChars="0" w:firstLine="0"/>
      </w:pPr>
    </w:p>
    <w:p w14:paraId="20A68BD5" w14:textId="77777777" w:rsidR="00111E86" w:rsidRDefault="00111E86">
      <w:pPr>
        <w:ind w:firstLineChars="0" w:firstLine="0"/>
      </w:pPr>
    </w:p>
    <w:p w14:paraId="304F336F" w14:textId="77777777" w:rsidR="00111E86" w:rsidRDefault="00111E86">
      <w:pPr>
        <w:ind w:firstLineChars="0" w:firstLine="0"/>
      </w:pPr>
    </w:p>
    <w:p w14:paraId="697506FB" w14:textId="77777777" w:rsidR="00111E86" w:rsidRDefault="00111E86">
      <w:pPr>
        <w:ind w:firstLineChars="0" w:firstLine="0"/>
      </w:pPr>
    </w:p>
    <w:p w14:paraId="4999CD55" w14:textId="77777777" w:rsidR="00111E86" w:rsidRDefault="00111E86">
      <w:pPr>
        <w:ind w:firstLineChars="0" w:firstLine="0"/>
      </w:pPr>
    </w:p>
    <w:p w14:paraId="2C672347" w14:textId="77777777" w:rsidR="00111E86" w:rsidRDefault="00111E86">
      <w:pPr>
        <w:ind w:firstLineChars="0" w:firstLine="0"/>
      </w:pPr>
    </w:p>
    <w:p w14:paraId="0BC115C4" w14:textId="77777777" w:rsidR="00111E86" w:rsidRDefault="00111E86">
      <w:pPr>
        <w:ind w:firstLineChars="0" w:firstLine="0"/>
      </w:pPr>
    </w:p>
    <w:p w14:paraId="096CB1CF" w14:textId="77777777" w:rsidR="00111E86" w:rsidRDefault="00111E86">
      <w:pPr>
        <w:ind w:firstLineChars="0" w:firstLine="0"/>
      </w:pPr>
    </w:p>
    <w:p w14:paraId="29EE0F1E" w14:textId="77777777" w:rsidR="00111E86" w:rsidRDefault="00111E86">
      <w:pPr>
        <w:ind w:firstLineChars="0" w:firstLine="0"/>
      </w:pPr>
    </w:p>
    <w:p w14:paraId="2CC6BF3A" w14:textId="77777777" w:rsidR="00111E86" w:rsidRDefault="00111E86">
      <w:pPr>
        <w:ind w:firstLineChars="0" w:firstLine="0"/>
      </w:pPr>
    </w:p>
    <w:p w14:paraId="5FA2D8EE" w14:textId="77777777" w:rsidR="00111E86" w:rsidRDefault="00111E86">
      <w:pPr>
        <w:ind w:firstLineChars="0" w:firstLine="0"/>
      </w:pPr>
    </w:p>
    <w:p w14:paraId="0568F988" w14:textId="77777777" w:rsidR="00111E86" w:rsidRDefault="00000000">
      <w:pPr>
        <w:pStyle w:val="3"/>
        <w:spacing w:beforeLines="100" w:before="312" w:afterLines="50" w:after="156"/>
        <w:jc w:val="center"/>
        <w:rPr>
          <w:rFonts w:ascii="宋体" w:hAnsi="宋体" w:cs="宋体" w:hint="default"/>
          <w:sz w:val="24"/>
          <w:szCs w:val="24"/>
        </w:rPr>
      </w:pPr>
      <w:r>
        <w:lastRenderedPageBreak/>
        <w:t>参考文献</w:t>
      </w:r>
    </w:p>
    <w:sectPr w:rsidR="00111E86">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E871C" w14:textId="77777777" w:rsidR="00AF7CD9" w:rsidRDefault="00AF7CD9">
      <w:pPr>
        <w:spacing w:after="0" w:line="240" w:lineRule="auto"/>
        <w:ind w:firstLine="420"/>
      </w:pPr>
      <w:r>
        <w:separator/>
      </w:r>
    </w:p>
  </w:endnote>
  <w:endnote w:type="continuationSeparator" w:id="0">
    <w:p w14:paraId="334782BD" w14:textId="77777777" w:rsidR="00AF7CD9" w:rsidRDefault="00AF7CD9">
      <w:pPr>
        <w:spacing w:after="0" w:line="240" w:lineRule="auto"/>
        <w:ind w:firstLine="420"/>
      </w:pPr>
      <w:r>
        <w:continuationSeparator/>
      </w:r>
    </w:p>
  </w:endnote>
  <w:endnote w:id="1">
    <w:p w14:paraId="33488185" w14:textId="77777777" w:rsidR="00111E86" w:rsidRDefault="00000000">
      <w:pPr>
        <w:pStyle w:val="a4"/>
        <w:ind w:firstLine="420"/>
      </w:pPr>
      <w:r>
        <w:rPr>
          <w:rStyle w:val="a9"/>
        </w:rPr>
        <w:t>[</w:t>
      </w:r>
      <w:r>
        <w:rPr>
          <w:rStyle w:val="a9"/>
        </w:rPr>
        <w:endnoteRef/>
      </w:r>
      <w:r>
        <w:rPr>
          <w:rStyle w:val="a9"/>
        </w:rPr>
        <w:t>]</w:t>
      </w:r>
      <w:r>
        <w:t xml:space="preserve"> </w:t>
      </w:r>
      <w:r>
        <w:rPr>
          <w:rFonts w:hint="eastAsia"/>
          <w:sz w:val="18"/>
          <w:szCs w:val="18"/>
        </w:rPr>
        <w:t>中</w:t>
      </w:r>
      <w:r>
        <w:rPr>
          <w:sz w:val="18"/>
          <w:szCs w:val="18"/>
        </w:rPr>
        <w:t>国信息通信研究院</w:t>
      </w:r>
      <w:r>
        <w:rPr>
          <w:sz w:val="18"/>
          <w:szCs w:val="18"/>
        </w:rPr>
        <w:t xml:space="preserve">. </w:t>
      </w:r>
      <w:r>
        <w:rPr>
          <w:sz w:val="18"/>
          <w:szCs w:val="18"/>
        </w:rPr>
        <w:t>中国数字经济发展与就业白皮书（</w:t>
      </w:r>
      <w:r>
        <w:rPr>
          <w:sz w:val="18"/>
          <w:szCs w:val="18"/>
        </w:rPr>
        <w:t>2022</w:t>
      </w:r>
      <w:r>
        <w:rPr>
          <w:sz w:val="18"/>
          <w:szCs w:val="18"/>
        </w:rPr>
        <w:t>年）</w:t>
      </w:r>
      <w:r>
        <w:rPr>
          <w:sz w:val="18"/>
          <w:szCs w:val="18"/>
        </w:rPr>
        <w:t xml:space="preserve">[M]. </w:t>
      </w:r>
      <w:r>
        <w:rPr>
          <w:sz w:val="18"/>
          <w:szCs w:val="18"/>
        </w:rPr>
        <w:t>北京</w:t>
      </w:r>
      <w:r>
        <w:rPr>
          <w:sz w:val="18"/>
          <w:szCs w:val="18"/>
        </w:rPr>
        <w:t xml:space="preserve">: </w:t>
      </w:r>
      <w:r>
        <w:rPr>
          <w:sz w:val="18"/>
          <w:szCs w:val="18"/>
        </w:rPr>
        <w:t>中国信通院</w:t>
      </w:r>
      <w:r>
        <w:rPr>
          <w:sz w:val="18"/>
          <w:szCs w:val="18"/>
        </w:rPr>
        <w:t>, 2022.</w:t>
      </w:r>
    </w:p>
  </w:endnote>
  <w:endnote w:id="2">
    <w:p w14:paraId="7F9DA9B9" w14:textId="77777777" w:rsidR="00111E86" w:rsidRDefault="00000000">
      <w:pPr>
        <w:pStyle w:val="a4"/>
        <w:ind w:firstLine="420"/>
      </w:pPr>
      <w:r>
        <w:rPr>
          <w:rStyle w:val="a9"/>
        </w:rPr>
        <w:t>[</w:t>
      </w:r>
      <w:r>
        <w:rPr>
          <w:rStyle w:val="a9"/>
        </w:rPr>
        <w:endnoteRef/>
      </w:r>
      <w:r>
        <w:rPr>
          <w:rStyle w:val="a9"/>
        </w:rPr>
        <w:t>]</w:t>
      </w:r>
      <w:r>
        <w:t xml:space="preserve"> </w:t>
      </w:r>
      <w:r>
        <w:rPr>
          <w:rFonts w:hint="eastAsia"/>
          <w:sz w:val="18"/>
          <w:szCs w:val="18"/>
        </w:rPr>
        <w:t>马</w:t>
      </w:r>
      <w:r>
        <w:rPr>
          <w:sz w:val="18"/>
          <w:szCs w:val="18"/>
        </w:rPr>
        <w:t>克思</w:t>
      </w:r>
      <w:r>
        <w:rPr>
          <w:rFonts w:hint="eastAsia"/>
          <w:sz w:val="18"/>
          <w:szCs w:val="18"/>
        </w:rPr>
        <w:t>，</w:t>
      </w:r>
      <w:r>
        <w:rPr>
          <w:sz w:val="18"/>
          <w:szCs w:val="18"/>
        </w:rPr>
        <w:t>恩格斯</w:t>
      </w:r>
      <w:r>
        <w:rPr>
          <w:sz w:val="18"/>
          <w:szCs w:val="18"/>
        </w:rPr>
        <w:t xml:space="preserve">. </w:t>
      </w:r>
      <w:r>
        <w:rPr>
          <w:sz w:val="18"/>
          <w:szCs w:val="18"/>
        </w:rPr>
        <w:t>马克思恩格斯选集</w:t>
      </w:r>
      <w:r>
        <w:rPr>
          <w:sz w:val="18"/>
          <w:szCs w:val="18"/>
        </w:rPr>
        <w:t xml:space="preserve"> [M]. 2</w:t>
      </w:r>
      <w:r>
        <w:rPr>
          <w:sz w:val="18"/>
          <w:szCs w:val="18"/>
        </w:rPr>
        <w:t>版</w:t>
      </w:r>
      <w:r>
        <w:rPr>
          <w:sz w:val="18"/>
          <w:szCs w:val="18"/>
        </w:rPr>
        <w:t xml:space="preserve">. </w:t>
      </w:r>
      <w:r>
        <w:rPr>
          <w:sz w:val="18"/>
          <w:szCs w:val="18"/>
        </w:rPr>
        <w:t>北京</w:t>
      </w:r>
      <w:r>
        <w:rPr>
          <w:sz w:val="18"/>
          <w:szCs w:val="18"/>
        </w:rPr>
        <w:t xml:space="preserve">: </w:t>
      </w:r>
      <w:r>
        <w:rPr>
          <w:sz w:val="18"/>
          <w:szCs w:val="18"/>
        </w:rPr>
        <w:t>人民出版社</w:t>
      </w:r>
      <w:r>
        <w:rPr>
          <w:sz w:val="18"/>
          <w:szCs w:val="18"/>
        </w:rPr>
        <w:t>, 1978</w:t>
      </w:r>
      <w:r>
        <w:rPr>
          <w:rFonts w:hint="eastAsia"/>
          <w:sz w:val="18"/>
          <w:szCs w:val="18"/>
        </w:rPr>
        <w:t>.</w:t>
      </w:r>
    </w:p>
  </w:endnote>
  <w:endnote w:id="3">
    <w:p w14:paraId="5E851950" w14:textId="77777777" w:rsidR="00111E86" w:rsidRDefault="00000000">
      <w:pPr>
        <w:pStyle w:val="a4"/>
        <w:ind w:firstLine="420"/>
      </w:pPr>
      <w:r>
        <w:rPr>
          <w:rStyle w:val="a9"/>
        </w:rPr>
        <w:t>[</w:t>
      </w:r>
      <w:r>
        <w:rPr>
          <w:rStyle w:val="a9"/>
        </w:rPr>
        <w:endnoteRef/>
      </w:r>
      <w:r>
        <w:rPr>
          <w:rStyle w:val="a9"/>
        </w:rPr>
        <w:t>]</w:t>
      </w:r>
      <w:r>
        <w:t xml:space="preserve"> </w:t>
      </w:r>
      <w:r>
        <w:rPr>
          <w:rFonts w:hint="eastAsia"/>
          <w:sz w:val="18"/>
          <w:szCs w:val="18"/>
        </w:rPr>
        <w:t>樊</w:t>
      </w:r>
      <w:r>
        <w:rPr>
          <w:sz w:val="18"/>
          <w:szCs w:val="18"/>
        </w:rPr>
        <w:t>士德</w:t>
      </w:r>
      <w:r>
        <w:rPr>
          <w:sz w:val="18"/>
          <w:szCs w:val="18"/>
        </w:rPr>
        <w:t xml:space="preserve">, </w:t>
      </w:r>
      <w:r>
        <w:rPr>
          <w:sz w:val="18"/>
          <w:szCs w:val="18"/>
        </w:rPr>
        <w:t>朱克朋</w:t>
      </w:r>
      <w:r>
        <w:rPr>
          <w:sz w:val="18"/>
          <w:szCs w:val="18"/>
        </w:rPr>
        <w:t xml:space="preserve">. </w:t>
      </w:r>
      <w:r>
        <w:rPr>
          <w:sz w:val="18"/>
          <w:szCs w:val="18"/>
        </w:rPr>
        <w:t>劳动力外流对中国农村和欠发达地区的福利效应研究</w:t>
      </w:r>
      <w:r>
        <w:rPr>
          <w:sz w:val="18"/>
          <w:szCs w:val="18"/>
        </w:rPr>
        <w:t>——</w:t>
      </w:r>
      <w:r>
        <w:rPr>
          <w:sz w:val="18"/>
          <w:szCs w:val="18"/>
        </w:rPr>
        <w:t>基于微观调研数据的视角</w:t>
      </w:r>
      <w:r>
        <w:rPr>
          <w:sz w:val="18"/>
          <w:szCs w:val="18"/>
        </w:rPr>
        <w:t xml:space="preserve">[J]. </w:t>
      </w:r>
      <w:r>
        <w:rPr>
          <w:sz w:val="18"/>
          <w:szCs w:val="18"/>
        </w:rPr>
        <w:t>农业经济问题</w:t>
      </w:r>
      <w:r>
        <w:rPr>
          <w:sz w:val="18"/>
          <w:szCs w:val="18"/>
        </w:rPr>
        <w:t>, 2016</w:t>
      </w:r>
      <w:r>
        <w:rPr>
          <w:rFonts w:hint="eastAsia"/>
          <w:sz w:val="18"/>
          <w:szCs w:val="18"/>
        </w:rPr>
        <w:t>.</w:t>
      </w:r>
    </w:p>
  </w:endnote>
  <w:endnote w:id="4">
    <w:p w14:paraId="3328FCB0" w14:textId="77777777" w:rsidR="00111E86" w:rsidRDefault="00000000">
      <w:pPr>
        <w:pStyle w:val="a4"/>
        <w:ind w:firstLine="420"/>
      </w:pPr>
      <w:r>
        <w:rPr>
          <w:rStyle w:val="a9"/>
        </w:rPr>
        <w:t>[</w:t>
      </w:r>
      <w:r>
        <w:rPr>
          <w:rStyle w:val="a9"/>
        </w:rPr>
        <w:endnoteRef/>
      </w:r>
      <w:r>
        <w:rPr>
          <w:rStyle w:val="a9"/>
        </w:rPr>
        <w:t>]</w:t>
      </w:r>
      <w:r>
        <w:t xml:space="preserve"> </w:t>
      </w:r>
      <w:r>
        <w:rPr>
          <w:rFonts w:hint="eastAsia"/>
          <w:sz w:val="18"/>
          <w:szCs w:val="18"/>
        </w:rPr>
        <w:t>I</w:t>
      </w:r>
      <w:r>
        <w:rPr>
          <w:sz w:val="18"/>
          <w:szCs w:val="18"/>
        </w:rPr>
        <w:t>EEE</w:t>
      </w:r>
      <w:r>
        <w:rPr>
          <w:sz w:val="18"/>
          <w:szCs w:val="18"/>
        </w:rPr>
        <w:t>全球通信大会</w:t>
      </w:r>
      <w:r>
        <w:rPr>
          <w:sz w:val="18"/>
          <w:szCs w:val="18"/>
        </w:rPr>
        <w:t>. 2020 IEEE</w:t>
      </w:r>
      <w:r>
        <w:rPr>
          <w:sz w:val="18"/>
          <w:szCs w:val="18"/>
        </w:rPr>
        <w:t>全球通信大会（</w:t>
      </w:r>
      <w:r>
        <w:rPr>
          <w:sz w:val="18"/>
          <w:szCs w:val="18"/>
        </w:rPr>
        <w:t>GLOBECOM</w:t>
      </w:r>
      <w:r>
        <w:rPr>
          <w:sz w:val="18"/>
          <w:szCs w:val="18"/>
        </w:rPr>
        <w:t>）</w:t>
      </w:r>
      <w:r>
        <w:rPr>
          <w:sz w:val="18"/>
          <w:szCs w:val="18"/>
        </w:rPr>
        <w:t>. [EB/OL]. [2024-0</w:t>
      </w:r>
      <w:r>
        <w:rPr>
          <w:rFonts w:hint="eastAsia"/>
          <w:sz w:val="18"/>
          <w:szCs w:val="18"/>
        </w:rPr>
        <w:t>8-29</w:t>
      </w:r>
      <w:r>
        <w:rPr>
          <w:sz w:val="18"/>
          <w:szCs w:val="18"/>
        </w:rPr>
        <w:t xml:space="preserve">]. </w:t>
      </w:r>
      <w:hyperlink r:id="rId1" w:tgtFrame="_new" w:history="1">
        <w:r>
          <w:rPr>
            <w:rStyle w:val="ab"/>
            <w:rFonts w:eastAsia="宋体" w:cs="Times New Roman"/>
            <w:color w:val="000000" w:themeColor="text1"/>
            <w:sz w:val="18"/>
            <w:szCs w:val="18"/>
          </w:rPr>
          <w:t>https://globecom2020.ieee-globecom.org/</w:t>
        </w:r>
      </w:hyperlink>
      <w:r>
        <w:rPr>
          <w:rFonts w:cs="Times New Roman"/>
          <w:color w:val="000000" w:themeColor="text1"/>
          <w:sz w:val="18"/>
          <w:szCs w:val="18"/>
        </w:rPr>
        <w:t>.</w:t>
      </w:r>
    </w:p>
  </w:endnote>
  <w:endnote w:id="5">
    <w:p w14:paraId="4672B19F" w14:textId="77777777" w:rsidR="00111E86" w:rsidRDefault="00000000">
      <w:pPr>
        <w:pStyle w:val="a4"/>
        <w:ind w:firstLine="420"/>
        <w:rPr>
          <w:sz w:val="18"/>
          <w:szCs w:val="18"/>
        </w:rPr>
      </w:pPr>
      <w:r>
        <w:rPr>
          <w:rStyle w:val="a9"/>
        </w:rPr>
        <w:t>[</w:t>
      </w:r>
      <w:r>
        <w:rPr>
          <w:rStyle w:val="a9"/>
        </w:rPr>
        <w:endnoteRef/>
      </w:r>
      <w:r>
        <w:rPr>
          <w:rStyle w:val="a9"/>
        </w:rPr>
        <w:t>]</w:t>
      </w:r>
      <w:r>
        <w:t xml:space="preserve"> </w:t>
      </w:r>
      <w:r>
        <w:rPr>
          <w:rFonts w:hint="eastAsia"/>
          <w:sz w:val="18"/>
          <w:szCs w:val="18"/>
        </w:rPr>
        <w:t>国</w:t>
      </w:r>
      <w:r>
        <w:rPr>
          <w:sz w:val="18"/>
          <w:szCs w:val="18"/>
        </w:rPr>
        <w:t>务院</w:t>
      </w:r>
      <w:r>
        <w:rPr>
          <w:sz w:val="18"/>
          <w:szCs w:val="18"/>
        </w:rPr>
        <w:t xml:space="preserve">. China sees expansion in 5G network coverage [EB/OL]. (2021-09-01) [2024-09-03]. </w:t>
      </w:r>
      <w:hyperlink r:id="rId2" w:tgtFrame="_new" w:history="1">
        <w:r>
          <w:rPr>
            <w:sz w:val="18"/>
            <w:szCs w:val="18"/>
          </w:rPr>
          <w:t>https://english.www.gov.cn/statecouncil/ministries/202109/01/content_WS612eb963c6d0df57f98df751.html</w:t>
        </w:r>
      </w:hyperlink>
      <w:r>
        <w:rPr>
          <w:sz w:val="18"/>
          <w:szCs w:val="18"/>
        </w:rPr>
        <w:t>.</w:t>
      </w:r>
    </w:p>
  </w:endnote>
  <w:endnote w:id="6">
    <w:p w14:paraId="3914F7C1" w14:textId="77777777" w:rsidR="00111E86" w:rsidRDefault="00000000">
      <w:pPr>
        <w:pStyle w:val="a4"/>
        <w:ind w:firstLine="420"/>
      </w:pPr>
      <w:r>
        <w:rPr>
          <w:rStyle w:val="a9"/>
        </w:rPr>
        <w:t>[</w:t>
      </w:r>
      <w:r>
        <w:rPr>
          <w:rStyle w:val="a9"/>
        </w:rPr>
        <w:endnoteRef/>
      </w:r>
      <w:r>
        <w:rPr>
          <w:rStyle w:val="a9"/>
        </w:rPr>
        <w:t>]</w:t>
      </w:r>
      <w:r>
        <w:t xml:space="preserve"> </w:t>
      </w:r>
      <w:r>
        <w:rPr>
          <w:rFonts w:hint="eastAsia"/>
          <w:sz w:val="18"/>
          <w:szCs w:val="18"/>
        </w:rPr>
        <w:t>王</w:t>
      </w:r>
      <w:r>
        <w:rPr>
          <w:sz w:val="18"/>
          <w:szCs w:val="18"/>
        </w:rPr>
        <w:t>小平</w:t>
      </w:r>
      <w:r>
        <w:rPr>
          <w:rFonts w:hint="eastAsia"/>
          <w:sz w:val="18"/>
          <w:szCs w:val="18"/>
        </w:rPr>
        <w:t>，</w:t>
      </w:r>
      <w:r>
        <w:rPr>
          <w:sz w:val="18"/>
          <w:szCs w:val="18"/>
        </w:rPr>
        <w:t>张</w:t>
      </w:r>
      <w:r>
        <w:rPr>
          <w:rFonts w:hint="eastAsia"/>
          <w:sz w:val="18"/>
          <w:szCs w:val="18"/>
        </w:rPr>
        <w:t>帅丽，</w:t>
      </w:r>
      <w:r>
        <w:rPr>
          <w:sz w:val="18"/>
          <w:szCs w:val="18"/>
        </w:rPr>
        <w:t>张</w:t>
      </w:r>
      <w:r>
        <w:rPr>
          <w:rFonts w:hint="eastAsia"/>
          <w:sz w:val="18"/>
          <w:szCs w:val="18"/>
        </w:rPr>
        <w:t>含</w:t>
      </w:r>
      <w:r>
        <w:rPr>
          <w:rFonts w:hint="eastAsia"/>
          <w:sz w:val="18"/>
          <w:szCs w:val="18"/>
        </w:rPr>
        <w:t xml:space="preserve">. </w:t>
      </w:r>
      <w:r>
        <w:rPr>
          <w:sz w:val="18"/>
          <w:szCs w:val="18"/>
        </w:rPr>
        <w:t>数字经济与生产性服务业耦合协调发展机理、评价与启示</w:t>
      </w:r>
      <w:r>
        <w:rPr>
          <w:sz w:val="18"/>
          <w:szCs w:val="18"/>
        </w:rPr>
        <w:t xml:space="preserve"> [J]. </w:t>
      </w:r>
      <w:r>
        <w:rPr>
          <w:sz w:val="18"/>
          <w:szCs w:val="18"/>
        </w:rPr>
        <w:t>河北经贸大学现代商贸服务业研究中心</w:t>
      </w:r>
      <w:r>
        <w:rPr>
          <w:sz w:val="18"/>
          <w:szCs w:val="18"/>
        </w:rPr>
        <w:t>, 2024.</w:t>
      </w:r>
    </w:p>
  </w:endnote>
  <w:endnote w:id="7">
    <w:p w14:paraId="74717C87" w14:textId="77777777" w:rsidR="00111E86" w:rsidRDefault="00000000">
      <w:pPr>
        <w:pStyle w:val="a4"/>
        <w:ind w:firstLine="420"/>
      </w:pPr>
      <w:r>
        <w:rPr>
          <w:rStyle w:val="a9"/>
        </w:rPr>
        <w:t>[</w:t>
      </w:r>
      <w:r>
        <w:rPr>
          <w:rStyle w:val="a9"/>
        </w:rPr>
        <w:endnoteRef/>
      </w:r>
      <w:r>
        <w:rPr>
          <w:rStyle w:val="a9"/>
        </w:rPr>
        <w:t>]</w:t>
      </w:r>
      <w:r>
        <w:t xml:space="preserve"> </w:t>
      </w:r>
      <w:r>
        <w:rPr>
          <w:sz w:val="18"/>
          <w:szCs w:val="18"/>
        </w:rPr>
        <w:t>尹</w:t>
      </w:r>
      <w:r>
        <w:rPr>
          <w:rFonts w:hint="eastAsia"/>
          <w:sz w:val="18"/>
          <w:szCs w:val="18"/>
        </w:rPr>
        <w:t>栾玉</w:t>
      </w:r>
      <w:r>
        <w:rPr>
          <w:sz w:val="18"/>
          <w:szCs w:val="18"/>
        </w:rPr>
        <w:t xml:space="preserve">, </w:t>
      </w:r>
      <w:r>
        <w:rPr>
          <w:sz w:val="18"/>
          <w:szCs w:val="18"/>
        </w:rPr>
        <w:t>张驰</w:t>
      </w:r>
      <w:r>
        <w:rPr>
          <w:sz w:val="18"/>
          <w:szCs w:val="18"/>
        </w:rPr>
        <w:t xml:space="preserve">, </w:t>
      </w:r>
      <w:r>
        <w:rPr>
          <w:sz w:val="18"/>
          <w:szCs w:val="18"/>
        </w:rPr>
        <w:t>肖双娇</w:t>
      </w:r>
      <w:r>
        <w:rPr>
          <w:sz w:val="18"/>
          <w:szCs w:val="18"/>
        </w:rPr>
        <w:t xml:space="preserve">. </w:t>
      </w:r>
      <w:r>
        <w:rPr>
          <w:sz w:val="18"/>
          <w:szCs w:val="18"/>
        </w:rPr>
        <w:t>数字金融创新、农业农村高质量发展与农民共同富裕</w:t>
      </w:r>
      <w:r>
        <w:rPr>
          <w:sz w:val="18"/>
          <w:szCs w:val="18"/>
        </w:rPr>
        <w:t xml:space="preserve"> [J]. </w:t>
      </w:r>
      <w:r>
        <w:rPr>
          <w:sz w:val="18"/>
          <w:szCs w:val="18"/>
        </w:rPr>
        <w:t>北京师范大学社会学院</w:t>
      </w:r>
      <w:r>
        <w:rPr>
          <w:sz w:val="18"/>
          <w:szCs w:val="18"/>
        </w:rPr>
        <w:t>, 2024.</w:t>
      </w:r>
    </w:p>
  </w:endnote>
  <w:endnote w:id="8">
    <w:p w14:paraId="40C349F1" w14:textId="77777777" w:rsidR="00111E86" w:rsidRDefault="00000000">
      <w:pPr>
        <w:pStyle w:val="a4"/>
        <w:ind w:firstLine="420"/>
        <w:rPr>
          <w:sz w:val="18"/>
          <w:szCs w:val="18"/>
        </w:rPr>
      </w:pPr>
      <w:r>
        <w:rPr>
          <w:rStyle w:val="a9"/>
        </w:rPr>
        <w:t>[</w:t>
      </w:r>
      <w:r>
        <w:rPr>
          <w:rStyle w:val="a9"/>
        </w:rPr>
        <w:endnoteRef/>
      </w:r>
      <w:r>
        <w:rPr>
          <w:rStyle w:val="a9"/>
        </w:rPr>
        <w:t>]</w:t>
      </w:r>
      <w:r>
        <w:t xml:space="preserve"> </w:t>
      </w:r>
      <w:r>
        <w:rPr>
          <w:rFonts w:hint="eastAsia"/>
          <w:sz w:val="18"/>
          <w:szCs w:val="18"/>
        </w:rPr>
        <w:t>周</w:t>
      </w:r>
      <w:r>
        <w:rPr>
          <w:sz w:val="18"/>
          <w:szCs w:val="18"/>
        </w:rPr>
        <w:t>华东</w:t>
      </w:r>
      <w:r>
        <w:rPr>
          <w:sz w:val="18"/>
          <w:szCs w:val="18"/>
        </w:rPr>
        <w:t xml:space="preserve">, </w:t>
      </w:r>
      <w:r>
        <w:rPr>
          <w:sz w:val="18"/>
          <w:szCs w:val="18"/>
        </w:rPr>
        <w:t>黄家文</w:t>
      </w:r>
      <w:r>
        <w:rPr>
          <w:sz w:val="18"/>
          <w:szCs w:val="18"/>
        </w:rPr>
        <w:t xml:space="preserve">. </w:t>
      </w:r>
      <w:r>
        <w:rPr>
          <w:sz w:val="18"/>
          <w:szCs w:val="18"/>
        </w:rPr>
        <w:t>发展数字经济对代际收入流动的影响研究</w:t>
      </w:r>
      <w:r>
        <w:rPr>
          <w:sz w:val="18"/>
          <w:szCs w:val="18"/>
        </w:rPr>
        <w:t>——</w:t>
      </w:r>
      <w:r>
        <w:rPr>
          <w:sz w:val="18"/>
          <w:szCs w:val="18"/>
        </w:rPr>
        <w:t>基于共同富裕视角的分析</w:t>
      </w:r>
      <w:r>
        <w:rPr>
          <w:sz w:val="18"/>
          <w:szCs w:val="18"/>
        </w:rPr>
        <w:t xml:space="preserve"> [J]. </w:t>
      </w:r>
      <w:r>
        <w:rPr>
          <w:sz w:val="18"/>
          <w:szCs w:val="18"/>
        </w:rPr>
        <w:t>合肥工业大学经济学院</w:t>
      </w:r>
      <w:r>
        <w:rPr>
          <w:sz w:val="18"/>
          <w:szCs w:val="18"/>
        </w:rPr>
        <w:t>, 2024.</w:t>
      </w:r>
    </w:p>
    <w:p w14:paraId="1EF888FB" w14:textId="77777777" w:rsidR="00111E86" w:rsidRDefault="00111E86">
      <w:pPr>
        <w:pStyle w:val="a4"/>
        <w:ind w:firstLine="360"/>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120DA" w14:textId="77777777" w:rsidR="00AF7CD9" w:rsidRDefault="00AF7CD9">
      <w:pPr>
        <w:spacing w:after="0" w:line="240" w:lineRule="auto"/>
        <w:ind w:firstLine="420"/>
      </w:pPr>
      <w:r>
        <w:separator/>
      </w:r>
    </w:p>
  </w:footnote>
  <w:footnote w:type="continuationSeparator" w:id="0">
    <w:p w14:paraId="3BF38753" w14:textId="77777777" w:rsidR="00AF7CD9" w:rsidRDefault="00AF7CD9">
      <w:pPr>
        <w:spacing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81E4C4A"/>
    <w:rsid w:val="00111E86"/>
    <w:rsid w:val="004A5107"/>
    <w:rsid w:val="006133B2"/>
    <w:rsid w:val="00916B3D"/>
    <w:rsid w:val="00AF7CD9"/>
    <w:rsid w:val="02823385"/>
    <w:rsid w:val="08ED12D7"/>
    <w:rsid w:val="0D9E7E9E"/>
    <w:rsid w:val="0DFF47E5"/>
    <w:rsid w:val="0E0B3018"/>
    <w:rsid w:val="1299494E"/>
    <w:rsid w:val="16A95719"/>
    <w:rsid w:val="16DA4A3B"/>
    <w:rsid w:val="171F38AB"/>
    <w:rsid w:val="1E7D1432"/>
    <w:rsid w:val="232321B2"/>
    <w:rsid w:val="23976E8C"/>
    <w:rsid w:val="27752D12"/>
    <w:rsid w:val="289F20A5"/>
    <w:rsid w:val="2E17013E"/>
    <w:rsid w:val="307A0518"/>
    <w:rsid w:val="3A27122C"/>
    <w:rsid w:val="3A3F4E08"/>
    <w:rsid w:val="3E9579FF"/>
    <w:rsid w:val="3F777C38"/>
    <w:rsid w:val="40B47F97"/>
    <w:rsid w:val="457F2A05"/>
    <w:rsid w:val="481E4C4A"/>
    <w:rsid w:val="4B766521"/>
    <w:rsid w:val="50BB185A"/>
    <w:rsid w:val="5D355E9E"/>
    <w:rsid w:val="614C124F"/>
    <w:rsid w:val="6651689F"/>
    <w:rsid w:val="68A10B53"/>
    <w:rsid w:val="6A4C0D9E"/>
    <w:rsid w:val="6D565103"/>
    <w:rsid w:val="7FA32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66B9E"/>
  <w15:docId w15:val="{99C2A250-CA88-4E66-A6CA-1704A496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440" w:lineRule="exact"/>
      <w:ind w:firstLineChars="200" w:firstLine="562"/>
      <w:jc w:val="both"/>
    </w:pPr>
    <w:rPr>
      <w:rFonts w:eastAsiaTheme="minorEastAsia" w:cstheme="minorBidi"/>
      <w:kern w:val="2"/>
      <w:sz w:val="21"/>
      <w:szCs w:val="24"/>
    </w:rPr>
  </w:style>
  <w:style w:type="paragraph" w:styleId="1">
    <w:name w:val="heading 1"/>
    <w:basedOn w:val="a"/>
    <w:next w:val="a"/>
    <w:link w:val="10"/>
    <w:qFormat/>
    <w:pPr>
      <w:keepNext/>
      <w:keepLines/>
      <w:spacing w:before="100" w:after="100"/>
      <w:ind w:firstLineChars="0" w:firstLine="0"/>
      <w:outlineLvl w:val="0"/>
    </w:pPr>
    <w:rPr>
      <w:b/>
      <w:kern w:val="44"/>
    </w:rPr>
  </w:style>
  <w:style w:type="paragraph" w:styleId="2">
    <w:name w:val="heading 2"/>
    <w:basedOn w:val="a"/>
    <w:next w:val="a"/>
    <w:unhideWhenUsed/>
    <w:qFormat/>
    <w:pPr>
      <w:keepNext/>
      <w:keepLines/>
      <w:spacing w:before="100" w:after="100"/>
      <w:ind w:firstLineChars="0" w:firstLine="0"/>
      <w:outlineLvl w:val="1"/>
    </w:pPr>
    <w:rPr>
      <w:rFonts w:eastAsia="宋体"/>
      <w:b/>
    </w:rPr>
  </w:style>
  <w:style w:type="paragraph" w:styleId="3">
    <w:name w:val="heading 3"/>
    <w:basedOn w:val="a"/>
    <w:next w:val="a"/>
    <w:unhideWhenUsed/>
    <w:qFormat/>
    <w:pPr>
      <w:ind w:firstLineChars="0" w:firstLine="0"/>
      <w:jc w:val="left"/>
      <w:outlineLvl w:val="2"/>
    </w:pPr>
    <w:rPr>
      <w:rFonts w:eastAsia="宋体" w:cs="Times New Roman" w:hint="eastAsia"/>
      <w:b/>
      <w:kern w:val="0"/>
      <w:szCs w:val="27"/>
    </w:rPr>
  </w:style>
  <w:style w:type="paragraph" w:styleId="4">
    <w:name w:val="heading 4"/>
    <w:basedOn w:val="a"/>
    <w:next w:val="a"/>
    <w:unhideWhenUsed/>
    <w:qFormat/>
    <w:pPr>
      <w:spacing w:beforeAutospacing="1" w:after="0" w:afterAutospacing="1"/>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endnote text"/>
    <w:basedOn w:val="a"/>
    <w:pPr>
      <w:snapToGrid w:val="0"/>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0" w:afterAutospacing="1"/>
      <w:jc w:val="left"/>
    </w:pPr>
    <w:rPr>
      <w:rFonts w:cs="Times New Roman"/>
      <w:kern w:val="0"/>
      <w:sz w:val="24"/>
    </w:rPr>
  </w:style>
  <w:style w:type="character" w:styleId="a8">
    <w:name w:val="Strong"/>
    <w:basedOn w:val="a0"/>
    <w:qFormat/>
    <w:rPr>
      <w:b/>
    </w:rPr>
  </w:style>
  <w:style w:type="character" w:styleId="a9">
    <w:name w:val="endnote reference"/>
    <w:basedOn w:val="a0"/>
    <w:rPr>
      <w:vertAlign w:val="superscript"/>
    </w:rPr>
  </w:style>
  <w:style w:type="character" w:styleId="aa">
    <w:name w:val="FollowedHyperlink"/>
    <w:basedOn w:val="a0"/>
    <w:rPr>
      <w:color w:val="800080"/>
      <w:u w:val="single"/>
    </w:rPr>
  </w:style>
  <w:style w:type="character" w:styleId="ab">
    <w:name w:val="Hyperlink"/>
    <w:basedOn w:val="a0"/>
    <w:qFormat/>
    <w:rPr>
      <w:color w:val="0000FF"/>
      <w:u w:val="single"/>
    </w:rPr>
  </w:style>
  <w:style w:type="paragraph" w:customStyle="1" w:styleId="11">
    <w:name w:val="样式1"/>
    <w:basedOn w:val="a"/>
    <w:qFormat/>
    <w:rPr>
      <w:rFonts w:ascii="Calibri" w:eastAsia="宋体" w:hAnsi="Calibri" w:cs="黑体"/>
    </w:rPr>
  </w:style>
  <w:style w:type="character" w:customStyle="1" w:styleId="10">
    <w:name w:val="标题 1 字符"/>
    <w:link w:val="1"/>
    <w:rPr>
      <w:b/>
      <w:kern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english.www.gov.cn/statecouncil/ministries/202109/01/content_WS612eb963c6d0df57f98df751.html" TargetMode="External"/><Relationship Id="rId1" Type="http://schemas.openxmlformats.org/officeDocument/2006/relationships/hyperlink" Target="https://globecom2020.ieee-globecom.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2410</Words>
  <Characters>13740</Characters>
  <Application>Microsoft Office Word</Application>
  <DocSecurity>0</DocSecurity>
  <Lines>114</Lines>
  <Paragraphs>32</Paragraphs>
  <ScaleCrop>false</ScaleCrop>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猫戚七</dc:creator>
  <cp:lastModifiedBy>Xuebin Wu</cp:lastModifiedBy>
  <cp:revision>2</cp:revision>
  <dcterms:created xsi:type="dcterms:W3CDTF">2024-08-12T05:15:00Z</dcterms:created>
  <dcterms:modified xsi:type="dcterms:W3CDTF">2024-09-16T09:37:00Z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